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C41E55" w:rsidRPr="00C41E55">
        <w:trPr>
          <w:tblCellSpacing w:w="0" w:type="dxa"/>
          <w:jc w:val="center"/>
        </w:trPr>
        <w:tc>
          <w:tcPr>
            <w:tcW w:w="0" w:type="auto"/>
            <w:tcMar>
              <w:top w:w="30" w:type="dxa"/>
              <w:left w:w="0" w:type="dxa"/>
              <w:bottom w:w="150" w:type="dxa"/>
              <w:right w:w="0" w:type="dxa"/>
            </w:tcMar>
            <w:vAlign w:val="center"/>
            <w:hideMark/>
          </w:tcPr>
          <w:p w:rsidR="00C41E55" w:rsidRPr="00C41E55" w:rsidRDefault="00C41E55" w:rsidP="00C41E55">
            <w:pPr>
              <w:widowControl/>
              <w:spacing w:line="360" w:lineRule="auto"/>
              <w:jc w:val="center"/>
              <w:rPr>
                <w:rFonts w:ascii="ˎ̥" w:eastAsia="宋体" w:hAnsi="ˎ̥" w:cs="Arial"/>
                <w:b/>
                <w:bCs/>
                <w:color w:val="093A96"/>
                <w:kern w:val="0"/>
                <w:sz w:val="33"/>
                <w:szCs w:val="33"/>
              </w:rPr>
            </w:pPr>
            <w:r w:rsidRPr="00C41E55">
              <w:rPr>
                <w:rFonts w:ascii="ˎ̥" w:eastAsia="宋体" w:hAnsi="ˎ̥" w:cs="Arial"/>
                <w:b/>
                <w:bCs/>
                <w:color w:val="093A96"/>
                <w:kern w:val="0"/>
                <w:sz w:val="33"/>
                <w:szCs w:val="33"/>
              </w:rPr>
              <w:t>《医疗器械临床试验质量管理规范》（国家食品药品监督管理总局</w:t>
            </w:r>
            <w:r w:rsidRPr="00C41E55">
              <w:rPr>
                <w:rFonts w:ascii="ˎ̥" w:eastAsia="宋体" w:hAnsi="ˎ̥" w:cs="Arial"/>
                <w:b/>
                <w:bCs/>
                <w:color w:val="093A96"/>
                <w:kern w:val="0"/>
                <w:sz w:val="33"/>
                <w:szCs w:val="33"/>
              </w:rPr>
              <w:t xml:space="preserve"> </w:t>
            </w:r>
            <w:r w:rsidRPr="00C41E55">
              <w:rPr>
                <w:rFonts w:ascii="ˎ̥" w:eastAsia="宋体" w:hAnsi="ˎ̥" w:cs="Arial"/>
                <w:b/>
                <w:bCs/>
                <w:color w:val="093A96"/>
                <w:kern w:val="0"/>
                <w:sz w:val="33"/>
                <w:szCs w:val="33"/>
              </w:rPr>
              <w:t>中华人民共和国国家卫生和计划生育委员会令第</w:t>
            </w:r>
            <w:r w:rsidRPr="00C41E55">
              <w:rPr>
                <w:rFonts w:ascii="ˎ̥" w:eastAsia="宋体" w:hAnsi="ˎ̥" w:cs="Arial"/>
                <w:b/>
                <w:bCs/>
                <w:color w:val="093A96"/>
                <w:kern w:val="0"/>
                <w:sz w:val="33"/>
                <w:szCs w:val="33"/>
              </w:rPr>
              <w:t>25</w:t>
            </w:r>
            <w:r w:rsidRPr="00C41E55">
              <w:rPr>
                <w:rFonts w:ascii="ˎ̥" w:eastAsia="宋体" w:hAnsi="ˎ̥" w:cs="Arial"/>
                <w:b/>
                <w:bCs/>
                <w:color w:val="093A96"/>
                <w:kern w:val="0"/>
                <w:sz w:val="33"/>
                <w:szCs w:val="33"/>
              </w:rPr>
              <w:t>号）</w:t>
            </w:r>
            <w:r w:rsidRPr="00C41E55">
              <w:rPr>
                <w:rFonts w:ascii="ˎ̥" w:eastAsia="宋体" w:hAnsi="ˎ̥" w:cs="Arial"/>
                <w:b/>
                <w:bCs/>
                <w:color w:val="093A96"/>
                <w:kern w:val="0"/>
                <w:sz w:val="33"/>
                <w:szCs w:val="33"/>
              </w:rPr>
              <w:t xml:space="preserve"> </w:t>
            </w:r>
          </w:p>
        </w:tc>
      </w:tr>
      <w:tr w:rsidR="00C41E55" w:rsidRPr="00C41E55">
        <w:trPr>
          <w:tblCellSpacing w:w="0" w:type="dxa"/>
          <w:jc w:val="center"/>
        </w:trPr>
        <w:tc>
          <w:tcPr>
            <w:tcW w:w="0" w:type="auto"/>
            <w:tcMar>
              <w:top w:w="150" w:type="dxa"/>
              <w:left w:w="0" w:type="dxa"/>
              <w:bottom w:w="0" w:type="dxa"/>
              <w:right w:w="0" w:type="dxa"/>
            </w:tcMar>
            <w:vAlign w:val="center"/>
            <w:hideMark/>
          </w:tcPr>
          <w:p w:rsidR="00C41E55" w:rsidRPr="00C41E55" w:rsidRDefault="00C41E55" w:rsidP="00C41E55">
            <w:pPr>
              <w:widowControl/>
              <w:spacing w:line="480" w:lineRule="auto"/>
              <w:jc w:val="center"/>
              <w:rPr>
                <w:rFonts w:ascii="ˎ̥" w:eastAsia="宋体" w:hAnsi="ˎ̥" w:cs="Arial"/>
                <w:color w:val="000000"/>
                <w:kern w:val="0"/>
                <w:szCs w:val="21"/>
              </w:rPr>
            </w:pPr>
          </w:p>
        </w:tc>
      </w:tr>
      <w:tr w:rsidR="00C41E55" w:rsidRPr="00C41E55">
        <w:trPr>
          <w:tblCellSpacing w:w="0" w:type="dxa"/>
          <w:jc w:val="center"/>
        </w:trPr>
        <w:tc>
          <w:tcPr>
            <w:tcW w:w="0" w:type="auto"/>
            <w:tcMar>
              <w:top w:w="120" w:type="dxa"/>
              <w:left w:w="0" w:type="dxa"/>
              <w:bottom w:w="0" w:type="dxa"/>
              <w:right w:w="0" w:type="dxa"/>
            </w:tcMar>
            <w:vAlign w:val="center"/>
            <w:hideMark/>
          </w:tcPr>
          <w:p w:rsidR="00C41E55" w:rsidRPr="00C41E55" w:rsidRDefault="00C41E55" w:rsidP="00C41E55">
            <w:pPr>
              <w:widowControl/>
              <w:spacing w:line="360" w:lineRule="auto"/>
              <w:jc w:val="right"/>
              <w:rPr>
                <w:rFonts w:ascii="ˎ̥" w:eastAsia="宋体" w:hAnsi="ˎ̥" w:cs="Arial"/>
                <w:color w:val="919191"/>
                <w:kern w:val="0"/>
                <w:szCs w:val="21"/>
              </w:rPr>
            </w:pPr>
            <w:r w:rsidRPr="00C41E55">
              <w:rPr>
                <w:rFonts w:ascii="ˎ̥" w:eastAsia="宋体" w:hAnsi="ˎ̥" w:cs="Arial"/>
                <w:color w:val="919191"/>
                <w:kern w:val="0"/>
                <w:szCs w:val="21"/>
              </w:rPr>
              <w:t>2016</w:t>
            </w:r>
            <w:r w:rsidRPr="00C41E55">
              <w:rPr>
                <w:rFonts w:ascii="ˎ̥" w:eastAsia="宋体" w:hAnsi="ˎ̥" w:cs="Arial"/>
                <w:color w:val="919191"/>
                <w:kern w:val="0"/>
                <w:szCs w:val="21"/>
              </w:rPr>
              <w:t>年</w:t>
            </w:r>
            <w:r w:rsidRPr="00C41E55">
              <w:rPr>
                <w:rFonts w:ascii="ˎ̥" w:eastAsia="宋体" w:hAnsi="ˎ̥" w:cs="Arial"/>
                <w:color w:val="919191"/>
                <w:kern w:val="0"/>
                <w:szCs w:val="21"/>
              </w:rPr>
              <w:t>03</w:t>
            </w:r>
            <w:r w:rsidRPr="00C41E55">
              <w:rPr>
                <w:rFonts w:ascii="ˎ̥" w:eastAsia="宋体" w:hAnsi="ˎ̥" w:cs="Arial"/>
                <w:color w:val="919191"/>
                <w:kern w:val="0"/>
                <w:szCs w:val="21"/>
              </w:rPr>
              <w:t>月</w:t>
            </w:r>
            <w:r w:rsidRPr="00C41E55">
              <w:rPr>
                <w:rFonts w:ascii="ˎ̥" w:eastAsia="宋体" w:hAnsi="ˎ̥" w:cs="Arial"/>
                <w:color w:val="919191"/>
                <w:kern w:val="0"/>
                <w:szCs w:val="21"/>
              </w:rPr>
              <w:t>23</w:t>
            </w:r>
            <w:r w:rsidRPr="00C41E55">
              <w:rPr>
                <w:rFonts w:ascii="ˎ̥" w:eastAsia="宋体" w:hAnsi="ˎ̥" w:cs="Arial"/>
                <w:color w:val="919191"/>
                <w:kern w:val="0"/>
                <w:szCs w:val="21"/>
              </w:rPr>
              <w:t>日</w:t>
            </w:r>
            <w:r w:rsidRPr="00C41E55">
              <w:rPr>
                <w:rFonts w:ascii="ˎ̥" w:eastAsia="宋体" w:hAnsi="ˎ̥" w:cs="Arial"/>
                <w:color w:val="919191"/>
                <w:kern w:val="0"/>
                <w:szCs w:val="21"/>
              </w:rPr>
              <w:t xml:space="preserve"> </w:t>
            </w:r>
          </w:p>
        </w:tc>
      </w:tr>
      <w:tr w:rsidR="00C41E55" w:rsidRPr="00C41E55">
        <w:trPr>
          <w:trHeight w:val="60"/>
          <w:tblCellSpacing w:w="0" w:type="dxa"/>
          <w:jc w:val="center"/>
        </w:trPr>
        <w:tc>
          <w:tcPr>
            <w:tcW w:w="5000" w:type="pct"/>
            <w:vAlign w:val="center"/>
            <w:hideMark/>
          </w:tcPr>
          <w:p w:rsidR="00C41E55" w:rsidRPr="00C41E55" w:rsidRDefault="00C41E55" w:rsidP="00C41E55">
            <w:pPr>
              <w:widowControl/>
              <w:spacing w:line="408" w:lineRule="auto"/>
              <w:jc w:val="center"/>
              <w:rPr>
                <w:rFonts w:ascii="ˎ̥" w:eastAsia="宋体" w:hAnsi="ˎ̥" w:cs="Arial"/>
                <w:color w:val="000000"/>
                <w:kern w:val="0"/>
                <w:sz w:val="6"/>
                <w:szCs w:val="18"/>
              </w:rPr>
            </w:pPr>
          </w:p>
        </w:tc>
      </w:tr>
      <w:tr w:rsidR="00C41E55" w:rsidRPr="00C41E55">
        <w:trPr>
          <w:tblCellSpacing w:w="0" w:type="dxa"/>
          <w:jc w:val="center"/>
        </w:trPr>
        <w:tc>
          <w:tcPr>
            <w:tcW w:w="0" w:type="auto"/>
            <w:tcMar>
              <w:top w:w="300" w:type="dxa"/>
              <w:left w:w="0" w:type="dxa"/>
              <w:bottom w:w="0" w:type="dxa"/>
              <w:right w:w="0" w:type="dxa"/>
            </w:tcMar>
            <w:vAlign w:val="center"/>
            <w:hideMark/>
          </w:tcPr>
          <w:p w:rsidR="00C41E55" w:rsidRPr="00C41E55" w:rsidRDefault="00C41E55" w:rsidP="00C41E55">
            <w:pPr>
              <w:widowControl/>
              <w:wordWrap w:val="0"/>
              <w:spacing w:before="100" w:beforeAutospacing="1" w:after="100" w:afterAutospacing="1" w:line="480" w:lineRule="auto"/>
              <w:jc w:val="center"/>
              <w:rPr>
                <w:rFonts w:ascii="ˎ̥" w:eastAsia="宋体" w:hAnsi="ˎ̥" w:cs="Arial"/>
                <w:color w:val="000000"/>
                <w:kern w:val="0"/>
                <w:szCs w:val="21"/>
              </w:rPr>
            </w:pPr>
            <w:r>
              <w:rPr>
                <w:rFonts w:ascii="ˎ̥" w:eastAsia="宋体" w:hAnsi="ˎ̥" w:cs="Arial" w:hint="eastAsia"/>
                <w:noProof/>
                <w:color w:val="000000"/>
                <w:kern w:val="0"/>
                <w:szCs w:val="21"/>
              </w:rPr>
              <w:drawing>
                <wp:inline distT="0" distB="0" distL="0" distR="0">
                  <wp:extent cx="5867400" cy="1590675"/>
                  <wp:effectExtent l="19050" t="0" r="0" b="0"/>
                  <wp:docPr id="1" name="图片 1" descr="http://www.sda.gov.cn/directory/web/WS01/images/141814587203699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da.gov.cn/directory/web/WS01/images/14181458720369995.jpg"/>
                          <pic:cNvPicPr>
                            <a:picLocks noChangeAspect="1" noChangeArrowheads="1"/>
                          </pic:cNvPicPr>
                        </pic:nvPicPr>
                        <pic:blipFill>
                          <a:blip r:embed="rId4"/>
                          <a:srcRect/>
                          <a:stretch>
                            <a:fillRect/>
                          </a:stretch>
                        </pic:blipFill>
                        <pic:spPr bwMode="auto">
                          <a:xfrm>
                            <a:off x="0" y="0"/>
                            <a:ext cx="5867400" cy="1590675"/>
                          </a:xfrm>
                          <a:prstGeom prst="rect">
                            <a:avLst/>
                          </a:prstGeom>
                          <a:noFill/>
                          <a:ln w="9525">
                            <a:noFill/>
                            <a:miter lim="800000"/>
                            <a:headEnd/>
                            <a:tailEnd/>
                          </a:ln>
                        </pic:spPr>
                      </pic:pic>
                    </a:graphicData>
                  </a:graphic>
                </wp:inline>
              </w:drawing>
            </w:r>
          </w:p>
          <w:p w:rsidR="00C41E55" w:rsidRPr="00C41E55" w:rsidRDefault="00C41E55" w:rsidP="00C41E55">
            <w:pPr>
              <w:widowControl/>
              <w:wordWrap w:val="0"/>
              <w:spacing w:before="100" w:beforeAutospacing="1" w:after="100" w:afterAutospacing="1" w:line="480" w:lineRule="auto"/>
              <w:jc w:val="center"/>
              <w:rPr>
                <w:rFonts w:ascii="ˎ̥" w:eastAsia="宋体" w:hAnsi="ˎ̥" w:cs="Arial"/>
                <w:color w:val="000000"/>
                <w:kern w:val="0"/>
                <w:szCs w:val="21"/>
              </w:rPr>
            </w:pPr>
            <w:r w:rsidRPr="00C41E55">
              <w:rPr>
                <w:rFonts w:ascii="ˎ̥" w:eastAsia="宋体" w:hAnsi="ˎ̥" w:cs="Arial"/>
                <w:color w:val="000000"/>
                <w:kern w:val="0"/>
                <w:szCs w:val="21"/>
              </w:rPr>
              <w:t>第</w:t>
            </w:r>
            <w:r w:rsidRPr="00C41E55">
              <w:rPr>
                <w:rFonts w:ascii="ˎ̥" w:eastAsia="宋体" w:hAnsi="ˎ̥" w:cs="Arial"/>
                <w:color w:val="000000"/>
                <w:kern w:val="0"/>
                <w:szCs w:val="21"/>
              </w:rPr>
              <w:t>25</w:t>
            </w:r>
            <w:r w:rsidRPr="00C41E55">
              <w:rPr>
                <w:rFonts w:ascii="ˎ̥" w:eastAsia="宋体" w:hAnsi="ˎ̥" w:cs="Arial"/>
                <w:color w:val="000000"/>
                <w:kern w:val="0"/>
                <w:szCs w:val="21"/>
              </w:rPr>
              <w:t>号</w:t>
            </w:r>
            <w:r w:rsidRPr="00C41E55">
              <w:rPr>
                <w:rFonts w:ascii="ˎ̥" w:eastAsia="宋体" w:hAnsi="ˎ̥" w:cs="Arial"/>
                <w:color w:val="000000"/>
                <w:kern w:val="0"/>
                <w:szCs w:val="21"/>
              </w:rPr>
              <w:t xml:space="preserve"> </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color w:val="000000"/>
                <w:kern w:val="0"/>
                <w:szCs w:val="21"/>
              </w:rPr>
              <w:t xml:space="preserve">　　《医疗器械临床试验质量管理规范》已经国家食品药品监督管理总局局务会议、国家卫生和计划生育委员会委主任会议审议通过，现予公布，自</w:t>
            </w:r>
            <w:r w:rsidRPr="00C41E55">
              <w:rPr>
                <w:rFonts w:ascii="ˎ̥" w:eastAsia="宋体" w:hAnsi="ˎ̥" w:cs="Arial"/>
                <w:color w:val="000000"/>
                <w:kern w:val="0"/>
                <w:szCs w:val="21"/>
              </w:rPr>
              <w:t>2016</w:t>
            </w:r>
            <w:r w:rsidRPr="00C41E55">
              <w:rPr>
                <w:rFonts w:ascii="ˎ̥" w:eastAsia="宋体" w:hAnsi="ˎ̥" w:cs="Arial"/>
                <w:color w:val="000000"/>
                <w:kern w:val="0"/>
                <w:szCs w:val="21"/>
              </w:rPr>
              <w:t>年</w:t>
            </w:r>
            <w:r w:rsidRPr="00C41E55">
              <w:rPr>
                <w:rFonts w:ascii="ˎ̥" w:eastAsia="宋体" w:hAnsi="ˎ̥" w:cs="Arial"/>
                <w:color w:val="000000"/>
                <w:kern w:val="0"/>
                <w:szCs w:val="21"/>
              </w:rPr>
              <w:t>6</w:t>
            </w:r>
            <w:r w:rsidRPr="00C41E55">
              <w:rPr>
                <w:rFonts w:ascii="ˎ̥" w:eastAsia="宋体" w:hAnsi="ˎ̥" w:cs="Arial"/>
                <w:color w:val="000000"/>
                <w:kern w:val="0"/>
                <w:szCs w:val="21"/>
              </w:rPr>
              <w:t>月</w:t>
            </w:r>
            <w:r w:rsidRPr="00C41E55">
              <w:rPr>
                <w:rFonts w:ascii="ˎ̥" w:eastAsia="宋体" w:hAnsi="ˎ̥" w:cs="Arial"/>
                <w:color w:val="000000"/>
                <w:kern w:val="0"/>
                <w:szCs w:val="21"/>
              </w:rPr>
              <w:t>1</w:t>
            </w:r>
            <w:r w:rsidRPr="00C41E55">
              <w:rPr>
                <w:rFonts w:ascii="ˎ̥" w:eastAsia="宋体" w:hAnsi="ˎ̥" w:cs="Arial"/>
                <w:color w:val="000000"/>
                <w:kern w:val="0"/>
                <w:szCs w:val="21"/>
              </w:rPr>
              <w:t>日起施行。</w:t>
            </w:r>
          </w:p>
          <w:p w:rsidR="00C41E55" w:rsidRPr="00C41E55" w:rsidRDefault="00C41E55" w:rsidP="00C41E55">
            <w:pPr>
              <w:widowControl/>
              <w:wordWrap w:val="0"/>
              <w:spacing w:before="100" w:beforeAutospacing="1" w:after="100" w:afterAutospacing="1" w:line="480" w:lineRule="auto"/>
              <w:jc w:val="center"/>
              <w:rPr>
                <w:rFonts w:ascii="ˎ̥" w:eastAsia="宋体" w:hAnsi="ˎ̥" w:cs="Arial"/>
                <w:color w:val="000000"/>
                <w:kern w:val="0"/>
                <w:szCs w:val="21"/>
              </w:rPr>
            </w:pP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局</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长　毕井泉</w:t>
            </w:r>
          </w:p>
          <w:p w:rsidR="00C41E55" w:rsidRPr="00C41E55" w:rsidRDefault="00C41E55" w:rsidP="00C41E55">
            <w:pPr>
              <w:widowControl/>
              <w:wordWrap w:val="0"/>
              <w:spacing w:before="100" w:beforeAutospacing="1" w:after="100" w:afterAutospacing="1" w:line="480" w:lineRule="auto"/>
              <w:jc w:val="center"/>
              <w:rPr>
                <w:rFonts w:ascii="ˎ̥" w:eastAsia="宋体" w:hAnsi="ˎ̥" w:cs="Arial"/>
                <w:color w:val="000000"/>
                <w:kern w:val="0"/>
                <w:szCs w:val="21"/>
              </w:rPr>
            </w:pPr>
            <w:r w:rsidRPr="00C41E55">
              <w:rPr>
                <w:rFonts w:ascii="ˎ̥" w:eastAsia="宋体" w:hAnsi="ˎ̥" w:cs="Arial"/>
                <w:color w:val="000000"/>
                <w:kern w:val="0"/>
                <w:szCs w:val="21"/>
              </w:rPr>
              <w:t xml:space="preserve">　主</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任　李斌</w:t>
            </w:r>
          </w:p>
          <w:p w:rsidR="00C41E55" w:rsidRPr="00C41E55" w:rsidRDefault="00C41E55" w:rsidP="00C41E55">
            <w:pPr>
              <w:widowControl/>
              <w:wordWrap w:val="0"/>
              <w:spacing w:before="100" w:beforeAutospacing="1" w:after="100" w:afterAutospacing="1" w:line="480" w:lineRule="auto"/>
              <w:jc w:val="center"/>
              <w:rPr>
                <w:rFonts w:ascii="ˎ̥" w:eastAsia="宋体" w:hAnsi="ˎ̥" w:cs="Arial"/>
                <w:color w:val="000000"/>
                <w:kern w:val="0"/>
                <w:szCs w:val="21"/>
              </w:rPr>
            </w:pPr>
            <w:r w:rsidRPr="00C41E55">
              <w:rPr>
                <w:rFonts w:ascii="ˎ̥" w:eastAsia="宋体" w:hAnsi="ˎ̥" w:cs="Arial"/>
                <w:color w:val="000000"/>
                <w:kern w:val="0"/>
                <w:sz w:val="18"/>
                <w:szCs w:val="18"/>
              </w:rPr>
              <w:br/>
            </w:r>
            <w:r w:rsidRPr="00C41E55">
              <w:rPr>
                <w:rFonts w:ascii="ˎ̥" w:eastAsia="宋体" w:hAnsi="ˎ̥" w:cs="Arial"/>
                <w:color w:val="000000"/>
                <w:kern w:val="0"/>
                <w:szCs w:val="21"/>
              </w:rPr>
              <w:t>2016</w:t>
            </w:r>
            <w:r w:rsidRPr="00C41E55">
              <w:rPr>
                <w:rFonts w:ascii="ˎ̥" w:eastAsia="宋体" w:hAnsi="ˎ̥" w:cs="Arial"/>
                <w:color w:val="000000"/>
                <w:kern w:val="0"/>
                <w:szCs w:val="21"/>
              </w:rPr>
              <w:t>年</w:t>
            </w:r>
            <w:r w:rsidRPr="00C41E55">
              <w:rPr>
                <w:rFonts w:ascii="ˎ̥" w:eastAsia="宋体" w:hAnsi="ˎ̥" w:cs="Arial"/>
                <w:color w:val="000000"/>
                <w:kern w:val="0"/>
                <w:szCs w:val="21"/>
              </w:rPr>
              <w:t>3</w:t>
            </w:r>
            <w:r w:rsidRPr="00C41E55">
              <w:rPr>
                <w:rFonts w:ascii="ˎ̥" w:eastAsia="宋体" w:hAnsi="ˎ̥" w:cs="Arial"/>
                <w:color w:val="000000"/>
                <w:kern w:val="0"/>
                <w:szCs w:val="21"/>
              </w:rPr>
              <w:t>月</w:t>
            </w:r>
            <w:r w:rsidRPr="00C41E55">
              <w:rPr>
                <w:rFonts w:ascii="ˎ̥" w:eastAsia="宋体" w:hAnsi="ˎ̥" w:cs="Arial"/>
                <w:color w:val="000000"/>
                <w:kern w:val="0"/>
                <w:szCs w:val="21"/>
              </w:rPr>
              <w:t>1</w:t>
            </w:r>
            <w:r w:rsidRPr="00C41E55">
              <w:rPr>
                <w:rFonts w:ascii="ˎ̥" w:eastAsia="宋体" w:hAnsi="ˎ̥" w:cs="Arial"/>
                <w:color w:val="000000"/>
                <w:kern w:val="0"/>
                <w:szCs w:val="21"/>
              </w:rPr>
              <w:t>日</w:t>
            </w:r>
          </w:p>
          <w:p w:rsidR="00C41E55" w:rsidRPr="00C41E55" w:rsidRDefault="00C41E55" w:rsidP="00C41E55">
            <w:pPr>
              <w:widowControl/>
              <w:wordWrap w:val="0"/>
              <w:spacing w:before="100" w:beforeAutospacing="1" w:after="100" w:afterAutospacing="1" w:line="480" w:lineRule="auto"/>
              <w:jc w:val="center"/>
              <w:rPr>
                <w:rFonts w:ascii="ˎ̥" w:eastAsia="宋体" w:hAnsi="ˎ̥" w:cs="Arial"/>
                <w:color w:val="000000"/>
                <w:kern w:val="0"/>
                <w:szCs w:val="21"/>
              </w:rPr>
            </w:pPr>
            <w:r w:rsidRPr="00C41E55">
              <w:rPr>
                <w:rFonts w:ascii="ˎ̥" w:eastAsia="宋体" w:hAnsi="ˎ̥" w:cs="Arial"/>
                <w:b/>
                <w:bCs/>
                <w:color w:val="000000"/>
                <w:kern w:val="0"/>
                <w:sz w:val="36"/>
              </w:rPr>
              <w:lastRenderedPageBreak/>
              <w:t>医疗器械临床试验质量管理规范</w:t>
            </w:r>
          </w:p>
          <w:p w:rsidR="00C41E55" w:rsidRPr="00C41E55" w:rsidRDefault="00C41E55" w:rsidP="00C41E55">
            <w:pPr>
              <w:widowControl/>
              <w:wordWrap w:val="0"/>
              <w:spacing w:before="100" w:beforeAutospacing="1" w:after="100" w:afterAutospacing="1" w:line="480" w:lineRule="auto"/>
              <w:jc w:val="center"/>
              <w:rPr>
                <w:rFonts w:ascii="ˎ̥" w:eastAsia="宋体" w:hAnsi="ˎ̥" w:cs="Arial"/>
                <w:color w:val="000000"/>
                <w:kern w:val="0"/>
                <w:szCs w:val="21"/>
              </w:rPr>
            </w:pPr>
            <w:r w:rsidRPr="00C41E55">
              <w:rPr>
                <w:rFonts w:ascii="ˎ̥" w:eastAsia="宋体" w:hAnsi="ˎ̥" w:cs="Arial"/>
                <w:b/>
                <w:bCs/>
                <w:color w:val="000000"/>
                <w:kern w:val="0"/>
              </w:rPr>
              <w:t>第一章</w:t>
            </w:r>
            <w:r w:rsidRPr="00C41E55">
              <w:rPr>
                <w:rFonts w:ascii="ˎ̥" w:eastAsia="宋体" w:hAnsi="ˎ̥" w:cs="Arial"/>
                <w:b/>
                <w:bCs/>
                <w:color w:val="000000"/>
                <w:kern w:val="0"/>
              </w:rPr>
              <w:t xml:space="preserve"> </w:t>
            </w:r>
            <w:r w:rsidRPr="00C41E55">
              <w:rPr>
                <w:rFonts w:ascii="ˎ̥" w:eastAsia="宋体" w:hAnsi="ˎ̥" w:cs="Arial"/>
                <w:b/>
                <w:bCs/>
                <w:color w:val="000000"/>
                <w:kern w:val="0"/>
              </w:rPr>
              <w:t>总</w:t>
            </w:r>
            <w:r w:rsidRPr="00C41E55">
              <w:rPr>
                <w:rFonts w:ascii="ˎ̥" w:eastAsia="宋体" w:hAnsi="ˎ̥" w:cs="Arial"/>
                <w:b/>
                <w:bCs/>
                <w:color w:val="000000"/>
                <w:kern w:val="0"/>
              </w:rPr>
              <w:t xml:space="preserve"> </w:t>
            </w:r>
            <w:r w:rsidRPr="00C41E55">
              <w:rPr>
                <w:rFonts w:ascii="ˎ̥" w:eastAsia="宋体" w:hAnsi="ˎ̥" w:cs="Arial"/>
                <w:b/>
                <w:bCs/>
                <w:color w:val="000000"/>
                <w:kern w:val="0"/>
              </w:rPr>
              <w:t>则</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第一条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为加强对医疗器械临床试验的管理，维护医疗器械临床试验过程中受试者权益，保证医疗器械临床试验过程规范，结果真实、科学、可靠和</w:t>
            </w:r>
            <w:proofErr w:type="gramStart"/>
            <w:r w:rsidRPr="00C41E55">
              <w:rPr>
                <w:rFonts w:ascii="ˎ̥" w:eastAsia="宋体" w:hAnsi="ˎ̥" w:cs="Arial"/>
                <w:color w:val="000000"/>
                <w:kern w:val="0"/>
                <w:szCs w:val="21"/>
              </w:rPr>
              <w:t>可</w:t>
            </w:r>
            <w:proofErr w:type="gramEnd"/>
            <w:r w:rsidRPr="00C41E55">
              <w:rPr>
                <w:rFonts w:ascii="ˎ̥" w:eastAsia="宋体" w:hAnsi="ˎ̥" w:cs="Arial"/>
                <w:color w:val="000000"/>
                <w:kern w:val="0"/>
                <w:szCs w:val="21"/>
              </w:rPr>
              <w:t>追溯，根据《医疗器械监督管理条例》，制定本规范。</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第二条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在中华人民共和国境内开展医疗器械临床试验，应当遵循本规范。</w:t>
            </w:r>
            <w:r w:rsidRPr="00C41E55">
              <w:rPr>
                <w:rFonts w:ascii="ˎ̥" w:eastAsia="宋体" w:hAnsi="ˎ̥" w:cs="Arial"/>
                <w:color w:val="000000"/>
                <w:kern w:val="0"/>
                <w:sz w:val="18"/>
                <w:szCs w:val="18"/>
              </w:rPr>
              <w:br/>
            </w:r>
            <w:r w:rsidRPr="00C41E55">
              <w:rPr>
                <w:rFonts w:ascii="ˎ̥" w:eastAsia="宋体" w:hAnsi="ˎ̥" w:cs="Arial"/>
                <w:color w:val="000000"/>
                <w:kern w:val="0"/>
                <w:szCs w:val="21"/>
              </w:rPr>
              <w:t>本规范涵盖医疗器械临床试验全过程，包括临床试验的方案设计、实施、监查、核查、检查，以及数据的采集、记录，分析总结和报告等。</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第三条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本规范所称医疗器械临床试验，是指在经资质认定的医疗器械临床试验机构中，对拟申请注册的医疗器械在正常使用条件下的安全性和有效性进行确认或者验证的过程。</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第四条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医疗器械临床试验应当遵循依法原则、伦理原则和科学原则。</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第五条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省级以上食品药品监督管理部门负责对医疗器械临床试验的监督管理。</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卫生计生主管部门在职责范围内加强对医疗器械临床试验的管理。</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食品药品监督管理部门、卫生计生主管部门应当建立医疗器械临床试验质量管理信息通报机制，加强第三类医疗器械、列入国家大型医用设备配置管理品目的医疗器械开展临床试验审批情况以及相应的临床试验监督管理数据的信息通报。</w:t>
            </w:r>
          </w:p>
          <w:p w:rsidR="00C41E55" w:rsidRPr="00C41E55" w:rsidRDefault="00C41E55" w:rsidP="00C41E55">
            <w:pPr>
              <w:widowControl/>
              <w:wordWrap w:val="0"/>
              <w:spacing w:before="100" w:beforeAutospacing="1" w:after="100" w:afterAutospacing="1" w:line="480" w:lineRule="auto"/>
              <w:jc w:val="center"/>
              <w:rPr>
                <w:rFonts w:ascii="ˎ̥" w:eastAsia="宋体" w:hAnsi="ˎ̥" w:cs="Arial"/>
                <w:color w:val="000000"/>
                <w:kern w:val="0"/>
                <w:szCs w:val="21"/>
              </w:rPr>
            </w:pPr>
            <w:r w:rsidRPr="00C41E55">
              <w:rPr>
                <w:rFonts w:ascii="ˎ̥" w:eastAsia="宋体" w:hAnsi="ˎ̥" w:cs="Arial"/>
                <w:b/>
                <w:bCs/>
                <w:color w:val="000000"/>
                <w:kern w:val="0"/>
              </w:rPr>
              <w:t>第二章</w:t>
            </w:r>
            <w:r w:rsidRPr="00C41E55">
              <w:rPr>
                <w:rFonts w:ascii="ˎ̥" w:eastAsia="宋体" w:hAnsi="ˎ̥" w:cs="Arial"/>
                <w:b/>
                <w:bCs/>
                <w:color w:val="000000"/>
                <w:kern w:val="0"/>
              </w:rPr>
              <w:t xml:space="preserve"> </w:t>
            </w:r>
            <w:r w:rsidRPr="00C41E55">
              <w:rPr>
                <w:rFonts w:ascii="ˎ̥" w:eastAsia="宋体" w:hAnsi="ˎ̥" w:cs="Arial"/>
                <w:b/>
                <w:bCs/>
                <w:color w:val="000000"/>
                <w:kern w:val="0"/>
              </w:rPr>
              <w:t>临床试验前准备</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第六条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进行医疗器械临床试验应当有充分的科学依据和明确的试验目的，并权衡对受</w:t>
            </w:r>
            <w:r w:rsidRPr="00C41E55">
              <w:rPr>
                <w:rFonts w:ascii="ˎ̥" w:eastAsia="宋体" w:hAnsi="ˎ̥" w:cs="Arial"/>
                <w:color w:val="000000"/>
                <w:kern w:val="0"/>
                <w:szCs w:val="21"/>
              </w:rPr>
              <w:lastRenderedPageBreak/>
              <w:t>试者和公众健康预期的受益以及风险，预期的受益应当超过可能出现的损害。</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第七条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临床试验前，申办者应当完成试验用医疗器械的临床前研究，包括产品设计（结构组成、工作原理和作用机理、预期用途以及适用范围、适用的技术要求）和质量检验、动物试验以及风险分析等，且结果应当能够支持该项临床试验。质量检验结果包括自检报告和具有资质的检验机构出具的一年内的产品注册检验合格报告。</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第八条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临床试验前，申办者应当准备充足的试验用医疗器械。试验用医疗器械的研制应当符合适用的医疗器械质量管理体系相关要求。</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第九条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医疗器械临床试验应当在两个或者两个以上医疗器械临床试验机构中进行。</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所选择的试验机构应当是经资质认定的医疗器械临床试验机构，且设施和条件应当满足安全有效地进行临床试验的需要。研究者应当具备承担该项临床试验的专业特长、资格和能力，并经过培训。</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医疗器械临床试验机构资质认定管理办法由国家食品药品监督管理总局会同国家卫生和计划生育委员会另行制定。</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第十条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临床试验前，申办者与临床试验机构和研究者应当就试验设计、试验质量控制、试验中的职责分工、申办者承担的临床试验相关费用以及试验中可能发生的伤害处理原则等达成书面协议。</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第十一条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临床试验应当获得医疗器械临床试验机构伦理委员会的同意。列入需进行临床试验审批的第三类医疗器械目录的，还应当获得国家食品药品监督管理总局的批准。</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第十二条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临床试验前，申办者应当向所在地省、自治区、直辖市食品药品监督管理部</w:t>
            </w:r>
            <w:r w:rsidRPr="00C41E55">
              <w:rPr>
                <w:rFonts w:ascii="ˎ̥" w:eastAsia="宋体" w:hAnsi="ˎ̥" w:cs="Arial"/>
                <w:color w:val="000000"/>
                <w:kern w:val="0"/>
                <w:szCs w:val="21"/>
              </w:rPr>
              <w:lastRenderedPageBreak/>
              <w:t>门备案。</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接受备案的食品药品监督管理部门应当将备案情况通报临床试验机构所在地的同级食品药品监督管理部门以及卫生计生主管部门。</w:t>
            </w:r>
          </w:p>
          <w:p w:rsidR="00C41E55" w:rsidRPr="00C41E55" w:rsidRDefault="00C41E55" w:rsidP="00C41E55">
            <w:pPr>
              <w:widowControl/>
              <w:wordWrap w:val="0"/>
              <w:spacing w:before="100" w:beforeAutospacing="1" w:after="100" w:afterAutospacing="1" w:line="480" w:lineRule="auto"/>
              <w:jc w:val="center"/>
              <w:rPr>
                <w:rFonts w:ascii="ˎ̥" w:eastAsia="宋体" w:hAnsi="ˎ̥" w:cs="Arial"/>
                <w:color w:val="000000"/>
                <w:kern w:val="0"/>
                <w:szCs w:val="21"/>
              </w:rPr>
            </w:pPr>
            <w:r w:rsidRPr="00C41E55">
              <w:rPr>
                <w:rFonts w:ascii="ˎ̥" w:eastAsia="宋体" w:hAnsi="ˎ̥" w:cs="Arial"/>
                <w:b/>
                <w:bCs/>
                <w:color w:val="000000"/>
                <w:kern w:val="0"/>
              </w:rPr>
              <w:t>第三章</w:t>
            </w:r>
            <w:r w:rsidRPr="00C41E55">
              <w:rPr>
                <w:rFonts w:ascii="ˎ̥" w:eastAsia="宋体" w:hAnsi="ˎ̥" w:cs="Arial"/>
                <w:b/>
                <w:bCs/>
                <w:color w:val="000000"/>
                <w:kern w:val="0"/>
              </w:rPr>
              <w:t xml:space="preserve"> </w:t>
            </w:r>
            <w:r w:rsidRPr="00C41E55">
              <w:rPr>
                <w:rFonts w:ascii="ˎ̥" w:eastAsia="宋体" w:hAnsi="ˎ̥" w:cs="Arial"/>
                <w:b/>
                <w:bCs/>
                <w:color w:val="000000"/>
                <w:kern w:val="0"/>
              </w:rPr>
              <w:t>受试者权益保障</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第十三条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医疗器械临床试验应当遵循《世界医学大会赫尔辛基宣言》确定的伦理准则。</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第十四条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伦理审查与知情同意是保障受试者权益的主要措施。</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参与临床试验的各方应当按照试验中各自的职责承担相应的伦理责任。</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第十五条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申办者应当避免对受试者、临床试验机构和研究者等临床试验参与者或者相关方产生不当影响或者误导。</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临床试验机构和研究者应当避免对受试者、申办者等临床试验参与者或者相关方产生不当影响或者误导。</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第十六条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申办者、临床试验机构和研究者不得夸大参与临床试验的补偿措施，误导受试者参与临床试验。</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第十七条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临床试验前，申办者应当通过研究者和临床试验机构的医疗器械临床试验管理部门向伦理委员会提交下列文件：</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（一）临床试验方案；</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（二）研究者手册；</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（三）知情同意书文本和其他</w:t>
            </w:r>
            <w:proofErr w:type="gramStart"/>
            <w:r w:rsidRPr="00C41E55">
              <w:rPr>
                <w:rFonts w:ascii="ˎ̥" w:eastAsia="宋体" w:hAnsi="ˎ̥" w:cs="Arial"/>
                <w:color w:val="000000"/>
                <w:kern w:val="0"/>
                <w:szCs w:val="21"/>
              </w:rPr>
              <w:t>任何提供</w:t>
            </w:r>
            <w:proofErr w:type="gramEnd"/>
            <w:r w:rsidRPr="00C41E55">
              <w:rPr>
                <w:rFonts w:ascii="ˎ̥" w:eastAsia="宋体" w:hAnsi="ˎ̥" w:cs="Arial"/>
                <w:color w:val="000000"/>
                <w:kern w:val="0"/>
                <w:szCs w:val="21"/>
              </w:rPr>
              <w:t>给受试者的书面材料；</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（四）招募受试者和向其宣传的程序性文件；</w:t>
            </w:r>
            <w:r w:rsidRPr="00C41E55">
              <w:rPr>
                <w:rFonts w:ascii="ˎ̥" w:eastAsia="宋体" w:hAnsi="ˎ̥" w:cs="Arial"/>
                <w:color w:val="000000"/>
                <w:kern w:val="0"/>
                <w:sz w:val="18"/>
                <w:szCs w:val="18"/>
              </w:rPr>
              <w:br/>
            </w:r>
            <w:r w:rsidRPr="00C41E55">
              <w:rPr>
                <w:rFonts w:ascii="ˎ̥" w:eastAsia="宋体" w:hAnsi="ˎ̥" w:cs="Arial"/>
                <w:color w:val="000000"/>
                <w:kern w:val="0"/>
                <w:szCs w:val="21"/>
              </w:rPr>
              <w:lastRenderedPageBreak/>
              <w:t xml:space="preserve">　　（五）病例报告表文本；</w:t>
            </w:r>
            <w:r w:rsidRPr="00C41E55">
              <w:rPr>
                <w:rFonts w:ascii="ˎ̥" w:eastAsia="宋体" w:hAnsi="ˎ̥" w:cs="Arial"/>
                <w:color w:val="000000"/>
                <w:kern w:val="0"/>
                <w:szCs w:val="21"/>
              </w:rPr>
              <w:t xml:space="preserve"> </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（六）自检报告和产品注册检验报告；</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（七）研究者简历、专业特长、能力、接受培训和其他能够证明其资格的文件；</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（八）临床试验机构的设施和条件能够满足试验的综述；</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（九）试验用医疗器械的研制符合适用的医疗器械质量管理体系相关要求的声明；</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（十）与伦理审查相关的其他文件。</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伦理委员会应当秉承伦理和科学的原则，审查和监督临床试验的实施。</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第十八条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在临床试验过程中发生下列情况之一的，研究者应当及时向临床试验机构的医疗器械临床试验管理部门报告，并经其及时通报申办者、报告伦理委员会：</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（一）严重不良事件；</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（二）进度报告，包括安全性总结和偏离报告；</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（三）对伦理委员会已批准文件的任何修订，不影响受试者权益、安全和健康，或者与临床试验目的或终点不相关的非实质性改变无需事前报告，但事后应当书面告知；</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（四）暂停、终止或者暂停后请求恢复临床试验；</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（五）影响受试者权益、安全和健康或者临床试验科学性的临床试验方案偏离，包括请求偏离和报告偏离。</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为保护受试者权益、安全和健康，在紧急情况下发生的偏离无法及时报告的，应当在事后以书面形式尽快按照相关规定报告。</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第十九条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临床试验过程中，如修订临床试验方案以及知情同意书等文件、请求偏离、恢复已暂停临床试验，应当在获得伦理委员会的书面批准后方可继续实施。</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lastRenderedPageBreak/>
              <w:t xml:space="preserve">　　第二十条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应当尽量避免选取未成年人、孕妇、老年人、智力障碍人员、处于生命危急情况的患者等作为受试者；确需选取时，应当遵守伦理委员会提出的有关附加要求，在临床试验中针对其健康状况进行专门设计，并应当有益于其健康。</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第二十一条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在受试者参与临床试验前，研究者应当充分向受试者或者无民事行为能力人、限制民事行为能力人的监护人说明临床试验的详细情况，包括已知的、可以预见的风险和可能发生的不良事件等。经充分和详细解释后由受试者或者其监护人在知情同意书上签署姓名和日期，研究者也需在知情同意书上签署姓名和日期。</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第二十二条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知情同意书一般应当包括下列内容以及对事项的说明：</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（一）研究者的姓名以及相关信息；</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（二）临床试验机构的名称；</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（三）试验名称、目的、方法、内容；</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（四）试验过程、期限；</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（五）试验的资金来源、可能的利益冲突；</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（六）预期受试者可能的受益和已知的、可以预见的风险以及可能发生的不良事件；</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（七）受试者可以获得的替代诊疗方法以及其潜在受益和风险的信息；</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（八）需要时，说明受试者可能被分配到试验的不同组别；</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（九）受试者参加试验应当是自愿的，且在试验的任何阶段有权退出而不会受到歧视或者报复，其医疗待遇与权益不受影响；</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（十）告知受试者参加试验的个人资料属于保密，但伦理委员会、食品药品监督管理部门、卫生计生主管部门或者申办者在工作需要时按照规定程序可以查阅受试者参加试验的个</w:t>
            </w:r>
            <w:r w:rsidRPr="00C41E55">
              <w:rPr>
                <w:rFonts w:ascii="ˎ̥" w:eastAsia="宋体" w:hAnsi="ˎ̥" w:cs="Arial"/>
                <w:color w:val="000000"/>
                <w:kern w:val="0"/>
                <w:szCs w:val="21"/>
              </w:rPr>
              <w:lastRenderedPageBreak/>
              <w:t>人资料；</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（十一）如发生与试验相关的伤害，受试者可以获得治疗和经济补偿；</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（十二）受试者在试验期间可以随时了解与其有关的信息资料；</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（十三）受试者在试验期间可能获得的免费诊疗项目和其他相关补助。</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知情同意书应当采用受试者或者监护人能够理解的语言和文字。知情同意书不应当含有会引起受试者放弃合法权益以及免除临床试验机构和研究者、申办者或者其代理人应当负责任的内容。</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第二十三条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获得知情同意还应当符合下列要求：</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（一）对无行为能力的受试者，如果伦理委员会原则上同意、研究者认为受试者参加临床试验符合其自身利益时，也可以进入临床试验，但试验前应当由其监护人签名并注明日期；</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二）受试者或者其监护人均无阅读能力时，在知情过程中应当有一名见证人在场，经过详细解释知情同意书后，见证人阅读知情同意书与口头知情内容一致，由受试者或者其监护人口头同意后，见证人在知情同意书上签名并注明日期，见证人的签名与研究者的签名应当在同一天；</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（三）未成年人作为受试者，应当征得其监护人的知情同意并签署知情同意书，未成年人能对是否参加试验</w:t>
            </w:r>
            <w:proofErr w:type="gramStart"/>
            <w:r w:rsidRPr="00C41E55">
              <w:rPr>
                <w:rFonts w:ascii="ˎ̥" w:eastAsia="宋体" w:hAnsi="ˎ̥" w:cs="Arial"/>
                <w:color w:val="000000"/>
                <w:kern w:val="0"/>
                <w:szCs w:val="21"/>
              </w:rPr>
              <w:t>作出</w:t>
            </w:r>
            <w:proofErr w:type="gramEnd"/>
            <w:r w:rsidRPr="00C41E55">
              <w:rPr>
                <w:rFonts w:ascii="ˎ̥" w:eastAsia="宋体" w:hAnsi="ˎ̥" w:cs="Arial"/>
                <w:color w:val="000000"/>
                <w:kern w:val="0"/>
                <w:szCs w:val="21"/>
              </w:rPr>
              <w:t>意思表示的，还应当征得其本人同意；</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（四）如发现涉及试验用医疗器械的重要信息或者预期以外的临床影响，应当对知情同意</w:t>
            </w:r>
            <w:proofErr w:type="gramStart"/>
            <w:r w:rsidRPr="00C41E55">
              <w:rPr>
                <w:rFonts w:ascii="ˎ̥" w:eastAsia="宋体" w:hAnsi="ˎ̥" w:cs="Arial"/>
                <w:color w:val="000000"/>
                <w:kern w:val="0"/>
                <w:szCs w:val="21"/>
              </w:rPr>
              <w:t>书相关</w:t>
            </w:r>
            <w:proofErr w:type="gramEnd"/>
            <w:r w:rsidRPr="00C41E55">
              <w:rPr>
                <w:rFonts w:ascii="ˎ̥" w:eastAsia="宋体" w:hAnsi="ˎ̥" w:cs="Arial"/>
                <w:color w:val="000000"/>
                <w:kern w:val="0"/>
                <w:szCs w:val="21"/>
              </w:rPr>
              <w:t>内容进行修改，修改的知情同意书经伦理委员会认可后，应当由受试者或者其监护人重新签名确认。</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第二十四条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知情同意书应当注明制定的日期或者修订后版本的日期。如知情同意书在</w:t>
            </w:r>
            <w:r w:rsidRPr="00C41E55">
              <w:rPr>
                <w:rFonts w:ascii="ˎ̥" w:eastAsia="宋体" w:hAnsi="ˎ̥" w:cs="Arial"/>
                <w:color w:val="000000"/>
                <w:kern w:val="0"/>
                <w:szCs w:val="21"/>
              </w:rPr>
              <w:lastRenderedPageBreak/>
              <w:t>试验过程中有修订，修订版的知情同意</w:t>
            </w:r>
            <w:proofErr w:type="gramStart"/>
            <w:r w:rsidRPr="00C41E55">
              <w:rPr>
                <w:rFonts w:ascii="ˎ̥" w:eastAsia="宋体" w:hAnsi="ˎ̥" w:cs="Arial"/>
                <w:color w:val="000000"/>
                <w:kern w:val="0"/>
                <w:szCs w:val="21"/>
              </w:rPr>
              <w:t>书执行</w:t>
            </w:r>
            <w:proofErr w:type="gramEnd"/>
            <w:r w:rsidRPr="00C41E55">
              <w:rPr>
                <w:rFonts w:ascii="ˎ̥" w:eastAsia="宋体" w:hAnsi="ˎ̥" w:cs="Arial"/>
                <w:color w:val="000000"/>
                <w:kern w:val="0"/>
                <w:szCs w:val="21"/>
              </w:rPr>
              <w:t>前需再次经伦理委员会同意。修订版的知情同意书报临床试验机构后，所有未结束试验流程的受试者如受影响，都应当签署新修订的知情同意书。</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第二十五条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受试者有权在临床试验的任何阶段退出并不承担任何经济责任。</w:t>
            </w:r>
          </w:p>
          <w:p w:rsidR="00C41E55" w:rsidRPr="00C41E55" w:rsidRDefault="00C41E55" w:rsidP="00C41E55">
            <w:pPr>
              <w:widowControl/>
              <w:wordWrap w:val="0"/>
              <w:spacing w:before="100" w:beforeAutospacing="1" w:after="100" w:afterAutospacing="1" w:line="480" w:lineRule="auto"/>
              <w:jc w:val="center"/>
              <w:rPr>
                <w:rFonts w:ascii="ˎ̥" w:eastAsia="宋体" w:hAnsi="ˎ̥" w:cs="Arial"/>
                <w:color w:val="000000"/>
                <w:kern w:val="0"/>
                <w:szCs w:val="21"/>
              </w:rPr>
            </w:pPr>
            <w:r w:rsidRPr="00C41E55">
              <w:rPr>
                <w:rFonts w:ascii="ˎ̥" w:eastAsia="宋体" w:hAnsi="ˎ̥" w:cs="Arial"/>
                <w:b/>
                <w:bCs/>
                <w:color w:val="000000"/>
                <w:kern w:val="0"/>
              </w:rPr>
              <w:t>第四章</w:t>
            </w:r>
            <w:r w:rsidRPr="00C41E55">
              <w:rPr>
                <w:rFonts w:ascii="ˎ̥" w:eastAsia="宋体" w:hAnsi="ˎ̥" w:cs="Arial"/>
                <w:b/>
                <w:bCs/>
                <w:color w:val="000000"/>
                <w:kern w:val="0"/>
              </w:rPr>
              <w:t xml:space="preserve"> </w:t>
            </w:r>
            <w:r w:rsidRPr="00C41E55">
              <w:rPr>
                <w:rFonts w:ascii="ˎ̥" w:eastAsia="宋体" w:hAnsi="ˎ̥" w:cs="Arial"/>
                <w:b/>
                <w:bCs/>
                <w:color w:val="000000"/>
                <w:kern w:val="0"/>
              </w:rPr>
              <w:t>临床试验方案</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第二十六条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开展医疗器械临床试验，申办者应当按照试验用医疗器械的类别、风险、预期用途等组织制定科学、合理的临床试验方案。</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第二十七条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未在境内</w:t>
            </w:r>
            <w:proofErr w:type="gramStart"/>
            <w:r w:rsidRPr="00C41E55">
              <w:rPr>
                <w:rFonts w:ascii="ˎ̥" w:eastAsia="宋体" w:hAnsi="ˎ̥" w:cs="Arial"/>
                <w:color w:val="000000"/>
                <w:kern w:val="0"/>
                <w:szCs w:val="21"/>
              </w:rPr>
              <w:t>外批准</w:t>
            </w:r>
            <w:proofErr w:type="gramEnd"/>
            <w:r w:rsidRPr="00C41E55">
              <w:rPr>
                <w:rFonts w:ascii="ˎ̥" w:eastAsia="宋体" w:hAnsi="ˎ̥" w:cs="Arial"/>
                <w:color w:val="000000"/>
                <w:kern w:val="0"/>
                <w:szCs w:val="21"/>
              </w:rPr>
              <w:t>上市的新产品，安全性以及性能尚未经医学证实的，临床试验方案设计时应当先进行小样本可行性试验，</w:t>
            </w:r>
            <w:proofErr w:type="gramStart"/>
            <w:r w:rsidRPr="00C41E55">
              <w:rPr>
                <w:rFonts w:ascii="ˎ̥" w:eastAsia="宋体" w:hAnsi="ˎ̥" w:cs="Arial"/>
                <w:color w:val="000000"/>
                <w:kern w:val="0"/>
                <w:szCs w:val="21"/>
              </w:rPr>
              <w:t>待初步</w:t>
            </w:r>
            <w:proofErr w:type="gramEnd"/>
            <w:r w:rsidRPr="00C41E55">
              <w:rPr>
                <w:rFonts w:ascii="ˎ̥" w:eastAsia="宋体" w:hAnsi="ˎ̥" w:cs="Arial"/>
                <w:color w:val="000000"/>
                <w:kern w:val="0"/>
                <w:szCs w:val="21"/>
              </w:rPr>
              <w:t>确认其安全性后，再根据统计学要求确定样本量开展后续临床试验。</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第二十八条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医疗器械临床试验方案应当包括下列内容：</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（一）一般信息；</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（二）临床试验的背景资料；</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（三）试验目的；</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（四）试验设计；</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（五）安全性评价方法；</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（六）有效性评价方法；</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（七）统计学考虑；</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（八）对临床试验方案修正的规定；</w:t>
            </w:r>
            <w:r w:rsidRPr="00C41E55">
              <w:rPr>
                <w:rFonts w:ascii="ˎ̥" w:eastAsia="宋体" w:hAnsi="ˎ̥" w:cs="Arial"/>
                <w:color w:val="000000"/>
                <w:kern w:val="0"/>
                <w:sz w:val="18"/>
                <w:szCs w:val="18"/>
              </w:rPr>
              <w:br/>
            </w:r>
            <w:r w:rsidRPr="00C41E55">
              <w:rPr>
                <w:rFonts w:ascii="ˎ̥" w:eastAsia="宋体" w:hAnsi="ˎ̥" w:cs="Arial"/>
                <w:color w:val="000000"/>
                <w:kern w:val="0"/>
                <w:szCs w:val="21"/>
              </w:rPr>
              <w:lastRenderedPageBreak/>
              <w:t xml:space="preserve">　　（九）对不良事件和器械缺陷报告的规定；</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（十）直接访问源数据、文件；</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（十一）临床试验涉及的伦理问题和说明以及知情同意书文本；</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（十二）数据处理与记录保存；</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（十三）财务和保险；</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（十四）试验结果发表约定。</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上述部分内容可以包括在方案的其他相关文件如研究者手册中。临床试验机构的具体信息、试验结果发表约定、财务和保险可以在试验方案中表述，也可以另行制定协议加以规定。</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第二十九条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多中心临床试验由多位研究者按照同</w:t>
            </w:r>
            <w:proofErr w:type="gramStart"/>
            <w:r w:rsidRPr="00C41E55">
              <w:rPr>
                <w:rFonts w:ascii="ˎ̥" w:eastAsia="宋体" w:hAnsi="ˎ̥" w:cs="Arial"/>
                <w:color w:val="000000"/>
                <w:kern w:val="0"/>
                <w:szCs w:val="21"/>
              </w:rPr>
              <w:t>一试验</w:t>
            </w:r>
            <w:proofErr w:type="gramEnd"/>
            <w:r w:rsidRPr="00C41E55">
              <w:rPr>
                <w:rFonts w:ascii="ˎ̥" w:eastAsia="宋体" w:hAnsi="ˎ̥" w:cs="Arial"/>
                <w:color w:val="000000"/>
                <w:kern w:val="0"/>
                <w:szCs w:val="21"/>
              </w:rPr>
              <w:t>方案在不同的临床试验机构中同期进行。其试验方案的设计和实施应当至少包括以下内容：</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（一）试验方案由申办者组织制定并经各临床试验机构以及研究者共同讨论认定，且明确牵头单位临床试验机构的研究者为协调研究者；</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（二）协调研究者负责临床试验过程中各临床试验机构间的工作协调，在临床试验前期、中期和后期组织研究者会议，并与申办者共同对整个试验的实施负责；</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（三）各临床试验机构原则上应当同期开展和结束临床试验；</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（四）各临床试验机构试验样本量以及分配、符合统计分析要求的理由；</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（五）申办者和临床试验机构对试验培训的计划与培训记录要求；</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（六）建立试验数据传递、管理、核查与查询程序，尤其明确要求各临床试验机构试验数据有关资料应当由牵头单位集中管理与分析；</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（七）多中心临床试验结束后，各临床试验机构研究者应当分别出具临床试验小结，连</w:t>
            </w:r>
            <w:r w:rsidRPr="00C41E55">
              <w:rPr>
                <w:rFonts w:ascii="ˎ̥" w:eastAsia="宋体" w:hAnsi="ˎ̥" w:cs="Arial"/>
                <w:color w:val="000000"/>
                <w:kern w:val="0"/>
                <w:szCs w:val="21"/>
              </w:rPr>
              <w:lastRenderedPageBreak/>
              <w:t>同病历报告表按规定经审核后交由协调研究者汇总完成总结报告。</w:t>
            </w:r>
          </w:p>
          <w:p w:rsidR="00C41E55" w:rsidRPr="00C41E55" w:rsidRDefault="00C41E55" w:rsidP="00C41E55">
            <w:pPr>
              <w:widowControl/>
              <w:wordWrap w:val="0"/>
              <w:spacing w:before="100" w:beforeAutospacing="1" w:after="100" w:afterAutospacing="1" w:line="480" w:lineRule="auto"/>
              <w:jc w:val="center"/>
              <w:rPr>
                <w:rFonts w:ascii="ˎ̥" w:eastAsia="宋体" w:hAnsi="ˎ̥" w:cs="Arial"/>
                <w:color w:val="000000"/>
                <w:kern w:val="0"/>
                <w:szCs w:val="21"/>
              </w:rPr>
            </w:pPr>
            <w:r w:rsidRPr="00C41E55">
              <w:rPr>
                <w:rFonts w:ascii="ˎ̥" w:eastAsia="宋体" w:hAnsi="ˎ̥" w:cs="Arial"/>
                <w:b/>
                <w:bCs/>
                <w:color w:val="000000"/>
                <w:kern w:val="0"/>
              </w:rPr>
              <w:t>第五章</w:t>
            </w:r>
            <w:r w:rsidRPr="00C41E55">
              <w:rPr>
                <w:rFonts w:ascii="ˎ̥" w:eastAsia="宋体" w:hAnsi="ˎ̥" w:cs="Arial"/>
                <w:b/>
                <w:bCs/>
                <w:color w:val="000000"/>
                <w:kern w:val="0"/>
              </w:rPr>
              <w:t xml:space="preserve"> </w:t>
            </w:r>
            <w:r w:rsidRPr="00C41E55">
              <w:rPr>
                <w:rFonts w:ascii="ˎ̥" w:eastAsia="宋体" w:hAnsi="ˎ̥" w:cs="Arial"/>
                <w:b/>
                <w:bCs/>
                <w:color w:val="000000"/>
                <w:kern w:val="0"/>
              </w:rPr>
              <w:t>伦理委员会职责</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第三十条</w:t>
            </w:r>
            <w:r w:rsidRPr="00C41E55">
              <w:rPr>
                <w:rFonts w:ascii="ˎ̥" w:eastAsia="宋体" w:hAnsi="ˎ̥" w:cs="Arial"/>
                <w:b/>
                <w:bCs/>
                <w:color w:val="000000"/>
                <w:kern w:val="0"/>
              </w:rPr>
              <w:t xml:space="preserve"> </w:t>
            </w:r>
            <w:r w:rsidRPr="00C41E55">
              <w:rPr>
                <w:rFonts w:ascii="ˎ̥" w:eastAsia="宋体" w:hAnsi="ˎ̥" w:cs="Arial"/>
                <w:color w:val="000000"/>
                <w:kern w:val="0"/>
                <w:szCs w:val="21"/>
              </w:rPr>
              <w:t>医疗器械临床试验机构伦理委员会应当至少由</w:t>
            </w:r>
            <w:r w:rsidRPr="00C41E55">
              <w:rPr>
                <w:rFonts w:ascii="ˎ̥" w:eastAsia="宋体" w:hAnsi="ˎ̥" w:cs="Arial"/>
                <w:color w:val="000000"/>
                <w:kern w:val="0"/>
                <w:szCs w:val="21"/>
              </w:rPr>
              <w:t>5</w:t>
            </w:r>
            <w:r w:rsidRPr="00C41E55">
              <w:rPr>
                <w:rFonts w:ascii="ˎ̥" w:eastAsia="宋体" w:hAnsi="ˎ̥" w:cs="Arial"/>
                <w:color w:val="000000"/>
                <w:kern w:val="0"/>
                <w:szCs w:val="21"/>
              </w:rPr>
              <w:t>名委员组成，包括医学专业人员、非医学专业人员，其中应当有不同性别的委员。非医学专业委员中至少有一名为法律工作者，一名为该临床试验机构以外的人员。伦理委员会委员应当具有评估和评价该项临床试验的科学、医学和伦理学等方面的资格或者经验。所有委员应当熟悉医疗器械临床试验的伦理准则和相关规定，并遵守伦理委员会的章程。</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第三十一条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医疗器械伦理委员会应当遵守《世界医学大会赫尔辛基宣言》伦理准则和食品药品监督管理部门的规定，建立相应的工作程序并形成文件，按照工作程序履行职责。</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伦理委员会中独立于研究者和申办者的委员有权发表意见并参与有关试验的表决。</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第三十二条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伦理委员会召开会议应当事先通知，参加评审和表决人数不能少于</w:t>
            </w:r>
            <w:r w:rsidRPr="00C41E55">
              <w:rPr>
                <w:rFonts w:ascii="ˎ̥" w:eastAsia="宋体" w:hAnsi="ˎ̥" w:cs="Arial"/>
                <w:color w:val="000000"/>
                <w:kern w:val="0"/>
                <w:szCs w:val="21"/>
              </w:rPr>
              <w:t>5</w:t>
            </w:r>
            <w:r w:rsidRPr="00C41E55">
              <w:rPr>
                <w:rFonts w:ascii="ˎ̥" w:eastAsia="宋体" w:hAnsi="ˎ̥" w:cs="Arial"/>
                <w:color w:val="000000"/>
                <w:kern w:val="0"/>
                <w:szCs w:val="21"/>
              </w:rPr>
              <w:t>人，</w:t>
            </w:r>
            <w:proofErr w:type="gramStart"/>
            <w:r w:rsidRPr="00C41E55">
              <w:rPr>
                <w:rFonts w:ascii="ˎ̥" w:eastAsia="宋体" w:hAnsi="ˎ̥" w:cs="Arial"/>
                <w:color w:val="000000"/>
                <w:kern w:val="0"/>
                <w:szCs w:val="21"/>
              </w:rPr>
              <w:t>作出</w:t>
            </w:r>
            <w:proofErr w:type="gramEnd"/>
            <w:r w:rsidRPr="00C41E55">
              <w:rPr>
                <w:rFonts w:ascii="ˎ̥" w:eastAsia="宋体" w:hAnsi="ˎ̥" w:cs="Arial"/>
                <w:color w:val="000000"/>
                <w:kern w:val="0"/>
                <w:szCs w:val="21"/>
              </w:rPr>
              <w:t>任何决定应当由伦理委员会组成成员半数以上通过。</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研究者可以提供有关试验的任何方面的信息，但不应当参与评审、投票或者发表意见。</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伦理委员会在审查某些特殊试验时，可以邀请相关领域的专家参加。</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第三十三条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伦理委员会应当从保障受试者权益的角度严格审议试验方案以及相关文件，并应当重点关注下列内容：</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（一）研究者的资格、经验以及是否有充分的时间参加该临床试验。</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（二）临床试验机构的人员配备以及设备条件等是否符合试验要求。</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（三）受试者可能遭受的风险程度与试验预期的受益相比是否合适。</w:t>
            </w:r>
            <w:r w:rsidRPr="00C41E55">
              <w:rPr>
                <w:rFonts w:ascii="ˎ̥" w:eastAsia="宋体" w:hAnsi="ˎ̥" w:cs="Arial"/>
                <w:color w:val="000000"/>
                <w:kern w:val="0"/>
                <w:sz w:val="18"/>
                <w:szCs w:val="18"/>
              </w:rPr>
              <w:br/>
            </w:r>
            <w:r w:rsidRPr="00C41E55">
              <w:rPr>
                <w:rFonts w:ascii="ˎ̥" w:eastAsia="宋体" w:hAnsi="ˎ̥" w:cs="Arial"/>
                <w:color w:val="000000"/>
                <w:kern w:val="0"/>
                <w:szCs w:val="21"/>
              </w:rPr>
              <w:lastRenderedPageBreak/>
              <w:t xml:space="preserve">　　（四）试验方案是否充分考虑了伦理原则，是否符合科学性，包括研究目的是否适当、受试者的权益是否得到保障、其他人员可能遭受风险的保护以及受试者入选的方法是否科学。</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五）受试者入选方法，向受试者或者其监护人提供的有关本试验的信息资料是否完整、受试者是否可以理解，获取知情同意书的方法是否适当；必要时，伦理委员会应当组织受试人群代表对资料的可理解程度进行测试，评估知情同意是否适当，评估结果应当书面记录并保存至临床试验结束后</w:t>
            </w:r>
            <w:r w:rsidRPr="00C41E55">
              <w:rPr>
                <w:rFonts w:ascii="ˎ̥" w:eastAsia="宋体" w:hAnsi="ˎ̥" w:cs="Arial"/>
                <w:color w:val="000000"/>
                <w:kern w:val="0"/>
                <w:szCs w:val="21"/>
              </w:rPr>
              <w:t>10</w:t>
            </w:r>
            <w:r w:rsidRPr="00C41E55">
              <w:rPr>
                <w:rFonts w:ascii="ˎ̥" w:eastAsia="宋体" w:hAnsi="ˎ̥" w:cs="Arial"/>
                <w:color w:val="000000"/>
                <w:kern w:val="0"/>
                <w:szCs w:val="21"/>
              </w:rPr>
              <w:t>年。</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（六）受试者若发生与临床试验相关的伤害或者死亡，给予的治疗和保险措施是否充分。</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（七）对试验方案提出的修改意见是否可以接受。</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（八）是否能够在临床试验进行中定期分析评估对受试者的可能危害。</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（九）对试验方案的偏离可能影响受试者权益、安全和健康，或者影响试验的科学性、完整性，是否可以接受。</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第三十四条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多中心临床试验的伦理审查应当由牵头单位伦理委员会负责建立协作审查工作程序，保证审查工作的一致性和及时性。</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各临床试验机构试验开始前应当由牵头单位伦理委员会负责审查试验方案的伦理合理性和科学性，参加试验的其他临床试验机构伦理委员会在接受牵头单位伦理委员会审查意见的前提下，可以采用会议审查或者文件审查的方式，审查该项试验在本临床试验机构的可行性，包括研究者的资格与经验、设备与条件等，一般情况下不再对试验方案设计提出修改意见，但是有权不批准在其临床试验机构进行试验。</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第三十五条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伦理委员会接到医疗器械临床试验的申请后应当召开会议，审阅讨论，签</w:t>
            </w:r>
            <w:r w:rsidRPr="00C41E55">
              <w:rPr>
                <w:rFonts w:ascii="ˎ̥" w:eastAsia="宋体" w:hAnsi="ˎ̥" w:cs="Arial"/>
                <w:color w:val="000000"/>
                <w:kern w:val="0"/>
                <w:szCs w:val="21"/>
              </w:rPr>
              <w:lastRenderedPageBreak/>
              <w:t>发书面意见、盖章，并</w:t>
            </w:r>
            <w:proofErr w:type="gramStart"/>
            <w:r w:rsidRPr="00C41E55">
              <w:rPr>
                <w:rFonts w:ascii="ˎ̥" w:eastAsia="宋体" w:hAnsi="ˎ̥" w:cs="Arial"/>
                <w:color w:val="000000"/>
                <w:kern w:val="0"/>
                <w:szCs w:val="21"/>
              </w:rPr>
              <w:t>附出席</w:t>
            </w:r>
            <w:proofErr w:type="gramEnd"/>
            <w:r w:rsidRPr="00C41E55">
              <w:rPr>
                <w:rFonts w:ascii="ˎ̥" w:eastAsia="宋体" w:hAnsi="ˎ̥" w:cs="Arial"/>
                <w:color w:val="000000"/>
                <w:kern w:val="0"/>
                <w:szCs w:val="21"/>
              </w:rPr>
              <w:t>会议的人员名单、专业以及本人签名。伦理委员会的意见可以是：</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（一）同意；</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（二）作必要的修改后同意；</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（三）不同意；</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（四）暂停或者终止已批准的试验。</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第三十六条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伦理委员会应当对本临床试验机构的临床试验进行跟踪监督，发现受试者权益不能得到保障等情形，可以在任何时间书面要求暂停或者终止该项临床试验。</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被暂停的临床试验，未经伦理委员会同意，不得恢复。</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第三十七条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伦理委员会应当保留全部有关记录至临床试验完成后至少</w:t>
            </w:r>
            <w:r w:rsidRPr="00C41E55">
              <w:rPr>
                <w:rFonts w:ascii="ˎ̥" w:eastAsia="宋体" w:hAnsi="ˎ̥" w:cs="Arial"/>
                <w:color w:val="000000"/>
                <w:kern w:val="0"/>
                <w:szCs w:val="21"/>
              </w:rPr>
              <w:t>10</w:t>
            </w:r>
            <w:r w:rsidRPr="00C41E55">
              <w:rPr>
                <w:rFonts w:ascii="ˎ̥" w:eastAsia="宋体" w:hAnsi="ˎ̥" w:cs="Arial"/>
                <w:color w:val="000000"/>
                <w:kern w:val="0"/>
                <w:szCs w:val="21"/>
              </w:rPr>
              <w:t>年。</w:t>
            </w:r>
          </w:p>
          <w:p w:rsidR="00C41E55" w:rsidRPr="00C41E55" w:rsidRDefault="00C41E55" w:rsidP="00C41E55">
            <w:pPr>
              <w:widowControl/>
              <w:wordWrap w:val="0"/>
              <w:spacing w:before="100" w:beforeAutospacing="1" w:after="100" w:afterAutospacing="1" w:line="480" w:lineRule="auto"/>
              <w:jc w:val="center"/>
              <w:rPr>
                <w:rFonts w:ascii="ˎ̥" w:eastAsia="宋体" w:hAnsi="ˎ̥" w:cs="Arial"/>
                <w:color w:val="000000"/>
                <w:kern w:val="0"/>
                <w:szCs w:val="21"/>
              </w:rPr>
            </w:pPr>
            <w:r w:rsidRPr="00C41E55">
              <w:rPr>
                <w:rFonts w:ascii="ˎ̥" w:eastAsia="宋体" w:hAnsi="ˎ̥" w:cs="Arial"/>
                <w:b/>
                <w:bCs/>
                <w:color w:val="000000"/>
                <w:kern w:val="0"/>
              </w:rPr>
              <w:t>第六章</w:t>
            </w:r>
            <w:r w:rsidRPr="00C41E55">
              <w:rPr>
                <w:rFonts w:ascii="ˎ̥" w:eastAsia="宋体" w:hAnsi="ˎ̥" w:cs="Arial"/>
                <w:b/>
                <w:bCs/>
                <w:color w:val="000000"/>
                <w:kern w:val="0"/>
              </w:rPr>
              <w:t xml:space="preserve"> </w:t>
            </w:r>
            <w:r w:rsidRPr="00C41E55">
              <w:rPr>
                <w:rFonts w:ascii="ˎ̥" w:eastAsia="宋体" w:hAnsi="ˎ̥" w:cs="Arial"/>
                <w:b/>
                <w:bCs/>
                <w:color w:val="000000"/>
                <w:kern w:val="0"/>
              </w:rPr>
              <w:t>申办者职责</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第三十八条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申办者负责发起、申请、组织、监查临床试验，并对临床试验的真实性、可靠性负责。申办者通常为医疗器械生产企业。申办者为境外机构的，应当按规定在我国境内指定代理人。</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第三十九条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申办者负责组织制定和修改研究者手册、临床试验方案、知情同意书、病例报告表、有关标准操作规程以及其他相关文件</w:t>
            </w:r>
            <w:r w:rsidRPr="00C41E55">
              <w:rPr>
                <w:rFonts w:ascii="ˎ̥" w:eastAsia="宋体" w:hAnsi="ˎ̥" w:cs="Arial"/>
                <w:color w:val="000000"/>
                <w:kern w:val="0"/>
                <w:szCs w:val="21"/>
              </w:rPr>
              <w:t>,</w:t>
            </w:r>
            <w:r w:rsidRPr="00C41E55">
              <w:rPr>
                <w:rFonts w:ascii="ˎ̥" w:eastAsia="宋体" w:hAnsi="ˎ̥" w:cs="Arial"/>
                <w:color w:val="000000"/>
                <w:kern w:val="0"/>
                <w:szCs w:val="21"/>
              </w:rPr>
              <w:t>并负责组织开展临床试验所必需的培训。</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第四十条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申办者应当根据试验用医疗器械的特性，在经资质认定的医疗器械临床试验机构中选择试验机构及其研究者。申办者在与临床试验机构签署临床试验协议前，应当向临床试验机构和研究者提供最新的研究者手册以及其他相关文件，以供其决定是否可以承担该</w:t>
            </w:r>
            <w:r w:rsidRPr="00C41E55">
              <w:rPr>
                <w:rFonts w:ascii="ˎ̥" w:eastAsia="宋体" w:hAnsi="ˎ̥" w:cs="Arial"/>
                <w:color w:val="000000"/>
                <w:kern w:val="0"/>
                <w:szCs w:val="21"/>
              </w:rPr>
              <w:lastRenderedPageBreak/>
              <w:t>项临床试验。</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第四十一条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研究者手册应当包括下列主要内容：</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（一）申办者、研究者基本信息；</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（二）试验用医疗器械的概要说明；</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（三）支持试验用医疗器械预期用途和临床试验设计理由的概要和评价；</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（四）试验用医疗器械的制造符合适用的医疗器械质量管理体系要求的声明。</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第四十二条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申办者在组织临床试验方案的制定中不得夸大宣传试验用医疗器械的机理和疗效。</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第四十三条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在临床试验过程中，申办者得到影响临床试验的重要信息时，应当及时对研究者手册以及相关文件进行修改，并通过临床试验机构的医疗器械临床试验管理部门提交伦理委员会审查同意。</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第四十四条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申办者应当与临床试验机构和研究者就下列事项达成书面协议：</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（一）按照相关法律法规和临床试验方案实施临床试验，并接受监查、核查和检查；</w:t>
            </w:r>
            <w:r w:rsidRPr="00C41E55">
              <w:rPr>
                <w:rFonts w:ascii="ˎ̥" w:eastAsia="宋体" w:hAnsi="ˎ̥" w:cs="Arial"/>
                <w:color w:val="000000"/>
                <w:kern w:val="0"/>
                <w:szCs w:val="21"/>
              </w:rPr>
              <w:t xml:space="preserve"> </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（二）遵循数据记录和报告程序；</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（三）保留与试验有关的基本文件不少于法定时间，直至申办者通知临床试验机构和研究者不再需要该文件为止；</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（四）申办者得到伦理委员会批准后，负责向临床试验机构和研究者提供试验用医疗器械，并确定其运输条件、储存条件、储存时间、有效期等；</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（五）试验用医疗器械应当质量合格，具有易于识别、正确编码以及贴有</w:t>
            </w:r>
            <w:r w:rsidRPr="00C41E55">
              <w:rPr>
                <w:rFonts w:ascii="ˎ̥" w:eastAsia="宋体" w:hAnsi="ˎ̥" w:cs="Arial"/>
                <w:color w:val="000000"/>
                <w:kern w:val="0"/>
                <w:szCs w:val="21"/>
              </w:rPr>
              <w:t>“</w:t>
            </w:r>
            <w:r w:rsidRPr="00C41E55">
              <w:rPr>
                <w:rFonts w:ascii="ˎ̥" w:eastAsia="宋体" w:hAnsi="ˎ̥" w:cs="Arial"/>
                <w:color w:val="000000"/>
                <w:kern w:val="0"/>
                <w:szCs w:val="21"/>
              </w:rPr>
              <w:t>试验用</w:t>
            </w:r>
            <w:r w:rsidRPr="00C41E55">
              <w:rPr>
                <w:rFonts w:ascii="ˎ̥" w:eastAsia="宋体" w:hAnsi="ˎ̥" w:cs="Arial"/>
                <w:color w:val="000000"/>
                <w:kern w:val="0"/>
                <w:szCs w:val="21"/>
              </w:rPr>
              <w:t>”</w:t>
            </w:r>
            <w:r w:rsidRPr="00C41E55">
              <w:rPr>
                <w:rFonts w:ascii="ˎ̥" w:eastAsia="宋体" w:hAnsi="ˎ̥" w:cs="Arial"/>
                <w:color w:val="000000"/>
                <w:kern w:val="0"/>
                <w:szCs w:val="21"/>
              </w:rPr>
              <w:t>的特殊标识，并按照临床试验方案要求进行适当包装和保存；</w:t>
            </w:r>
            <w:r w:rsidRPr="00C41E55">
              <w:rPr>
                <w:rFonts w:ascii="ˎ̥" w:eastAsia="宋体" w:hAnsi="ˎ̥" w:cs="Arial"/>
                <w:color w:val="000000"/>
                <w:kern w:val="0"/>
                <w:sz w:val="18"/>
                <w:szCs w:val="18"/>
              </w:rPr>
              <w:br/>
            </w:r>
            <w:r w:rsidRPr="00C41E55">
              <w:rPr>
                <w:rFonts w:ascii="ˎ̥" w:eastAsia="宋体" w:hAnsi="ˎ̥" w:cs="Arial"/>
                <w:color w:val="000000"/>
                <w:kern w:val="0"/>
                <w:szCs w:val="21"/>
              </w:rPr>
              <w:lastRenderedPageBreak/>
              <w:t xml:space="preserve">　　（六）申办者应当制定临床试验质量控制相关的标准操作规程，如试验用医疗器械的运输、接收、储存、分发、处理、回收等，供临床试验机构和研究者遵循。</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第四十五条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申办者对试验用医疗器械在临床试验中的安全性负责。当发现可能影响受试者安全或者试验实施可能改变伦理委员会对继续试验的批准情况时，申办者应当立即通知所有临床试验机构和研究者，并</w:t>
            </w:r>
            <w:proofErr w:type="gramStart"/>
            <w:r w:rsidRPr="00C41E55">
              <w:rPr>
                <w:rFonts w:ascii="ˎ̥" w:eastAsia="宋体" w:hAnsi="ˎ̥" w:cs="Arial"/>
                <w:color w:val="000000"/>
                <w:kern w:val="0"/>
                <w:szCs w:val="21"/>
              </w:rPr>
              <w:t>作出</w:t>
            </w:r>
            <w:proofErr w:type="gramEnd"/>
            <w:r w:rsidRPr="00C41E55">
              <w:rPr>
                <w:rFonts w:ascii="ˎ̥" w:eastAsia="宋体" w:hAnsi="ˎ̥" w:cs="Arial"/>
                <w:color w:val="000000"/>
                <w:kern w:val="0"/>
                <w:szCs w:val="21"/>
              </w:rPr>
              <w:t>相应处理。</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第四十六条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申办者决定暂停或者终止临床试验的，应当在</w:t>
            </w:r>
            <w:r w:rsidRPr="00C41E55">
              <w:rPr>
                <w:rFonts w:ascii="ˎ̥" w:eastAsia="宋体" w:hAnsi="ˎ̥" w:cs="Arial"/>
                <w:color w:val="000000"/>
                <w:kern w:val="0"/>
                <w:szCs w:val="21"/>
              </w:rPr>
              <w:t>5</w:t>
            </w:r>
            <w:r w:rsidRPr="00C41E55">
              <w:rPr>
                <w:rFonts w:ascii="ˎ̥" w:eastAsia="宋体" w:hAnsi="ˎ̥" w:cs="Arial"/>
                <w:color w:val="000000"/>
                <w:kern w:val="0"/>
                <w:szCs w:val="21"/>
              </w:rPr>
              <w:t>日内通知所有临床试验机构医疗器械临床试验管理部门，并书面说明理由。临床试验机构医疗器械临床试验管理部门应当及时通知相应的研究者、伦理委员会。对暂停的临床试验，未经伦理委员会同意，不得恢复。临床试验结束后，申办者应当书面告知其所在地省、自治区、直辖市食品药品监督管理部门。</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第四十七条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申办者应当保证实施临床试验的所有研究者严格遵循临床试验方案，发现临床试验机构和研究者不遵从有关法律法规、本规范和临床试验方案的，应当及时指出并予以纠正；如情况严重或者持续不改，应当终止试验，并向临床试验机构所在地省、自治区、直辖市食品药品监督管理部门和国家食品药品监督管理总局报告。</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第四十八条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申办者应当为发生与临床试验相关的伤害或者死亡的受试者承担治疗的费用以及相应的经济补偿，但在诊疗活动中由医疗机构及其医务人员过错造成的损害除外。</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第四十九条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申办者应当对临床试验承担监查责任，并选择符合要求的监查员履行监查职责。</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监查员人数以及监查的次数取决于临床试验的复杂程度和参与试验的临床试验机构数</w:t>
            </w:r>
            <w:r w:rsidRPr="00C41E55">
              <w:rPr>
                <w:rFonts w:ascii="ˎ̥" w:eastAsia="宋体" w:hAnsi="ˎ̥" w:cs="Arial"/>
                <w:color w:val="000000"/>
                <w:kern w:val="0"/>
                <w:szCs w:val="21"/>
              </w:rPr>
              <w:lastRenderedPageBreak/>
              <w:t>目。</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第五十条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监查员应当有相应的临床医学、药学、生物医学工程、统计学等相关专业背景，并经过必要的培训，熟悉有关法规和本规范，熟悉有关试验用医疗器械的非临床和同类产品临床方面的信息、临床试验方案及其相关的文件。</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第五十一条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监查员应当遵循由申办者制定的试验用医疗器械临床试验监查标准操作规程，督促临床试验按照方案实施。具体职责包括：</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（一）在试验前确认临床试验机构已具有适当的条件，包括人员配备与培训符合要求，实验室设备齐全、工作情况良好，预期有足够数量的受试者，参与研究人员熟悉试验要求。</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（二）在试验前、中、后期监查临床试验机构和研究者是否遵循有关法规、本规范和临床试验方案。</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三）确认每位受试者在参与临床试验前签署知情同意书，了解受试者的入选情况以及试验的进展状况；对研究者未能做到的随访、未进行的试验、未做的检查，以及是否对错误、遗漏做出纠正等，应当清楚、如实记录；对修订的知情同意书，确认未结束临床试验流程并受影响的受试者重新签署。</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（四）确认所有病例报告表填写正确，并与原始资料一致；所有错误或者遗漏均已改正或者注明，经研究者签名并注明日期；每一试验的病种、病例总数和病例的性别、年龄、治疗效果等均应当确认并记录。</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（五）确认受试者退出临床试验或者不依从知情同意书规定要求的情况记录在案，并与研究者讨论此种情况。</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（六）确认所有不良事件、并发症和其他器械缺陷均记录在案，严重不良事件和可能导</w:t>
            </w:r>
            <w:r w:rsidRPr="00C41E55">
              <w:rPr>
                <w:rFonts w:ascii="ˎ̥" w:eastAsia="宋体" w:hAnsi="ˎ̥" w:cs="Arial"/>
                <w:color w:val="000000"/>
                <w:kern w:val="0"/>
                <w:szCs w:val="21"/>
              </w:rPr>
              <w:lastRenderedPageBreak/>
              <w:t>致严重不良事件的器械缺陷在规定时间内</w:t>
            </w:r>
            <w:proofErr w:type="gramStart"/>
            <w:r w:rsidRPr="00C41E55">
              <w:rPr>
                <w:rFonts w:ascii="ˎ̥" w:eastAsia="宋体" w:hAnsi="ˎ̥" w:cs="Arial"/>
                <w:color w:val="000000"/>
                <w:kern w:val="0"/>
                <w:szCs w:val="21"/>
              </w:rPr>
              <w:t>作出</w:t>
            </w:r>
            <w:proofErr w:type="gramEnd"/>
            <w:r w:rsidRPr="00C41E55">
              <w:rPr>
                <w:rFonts w:ascii="ˎ̥" w:eastAsia="宋体" w:hAnsi="ˎ̥" w:cs="Arial"/>
                <w:color w:val="000000"/>
                <w:kern w:val="0"/>
                <w:szCs w:val="21"/>
              </w:rPr>
              <w:t>报告并记录在案。</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（七）监查试验用医疗器械样品的供给、使用、维护以及运输、接收、储存、分发、处理与回收。</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（八）监督临床试验过程中相关设备的定期维护和校准。</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（九）确保研究者收到的所有临床试验相关文件为最新版本。</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（十）每次监查后应当书面报告申办者，报告应当包括监查员姓名、监查日期、监查时间、监查地点、监查内容、研究者姓名、项目完成情况、存在的问题、结论以及对错误、遗漏做出的纠正等。</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第五十二条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申办者为保证临床试验的质量，可以组织独立于临床试验、并具有相应培训和经验的核查员对临床试验开展情况进行核查，评估临床试验是否符合试验方案的要求。</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核查可以作为申办者临床试验质量管理常规工作的一部分，也可以用于评估监查活动的有效性，或者针对严重的或者反复的临床试验方案偏离、涉嫌造假等情况开展核查。</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第五十三条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核查员应当根据临床试验的重要性、受试者数量、临床试验的类型以及复杂性、受试者风险水平等制定核查方案和核查程序。</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第五十四条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对于严重不良事件和可能导致严重不良事件的器械缺陷，申办者应当在获知后</w:t>
            </w:r>
            <w:r w:rsidRPr="00C41E55">
              <w:rPr>
                <w:rFonts w:ascii="ˎ̥" w:eastAsia="宋体" w:hAnsi="ˎ̥" w:cs="Arial"/>
                <w:color w:val="000000"/>
                <w:kern w:val="0"/>
                <w:szCs w:val="21"/>
              </w:rPr>
              <w:t>5</w:t>
            </w:r>
            <w:r w:rsidRPr="00C41E55">
              <w:rPr>
                <w:rFonts w:ascii="ˎ̥" w:eastAsia="宋体" w:hAnsi="ˎ̥" w:cs="Arial"/>
                <w:color w:val="000000"/>
                <w:kern w:val="0"/>
                <w:szCs w:val="21"/>
              </w:rPr>
              <w:t>个工作日内向所备案的食品药品监督管理部门和同级卫生计生主管部门报告，同时应当向参与试验的其他临床试验机构和研究者通报，并经其医疗器械临床试验管理部门及时通知该临床试验机构的伦理委员会。</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第五十五条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申办者若采用电子临床数据库或者远程电子临床数据系统，应当确保临床</w:t>
            </w:r>
            <w:r w:rsidRPr="00C41E55">
              <w:rPr>
                <w:rFonts w:ascii="ˎ̥" w:eastAsia="宋体" w:hAnsi="ˎ̥" w:cs="Arial"/>
                <w:color w:val="000000"/>
                <w:kern w:val="0"/>
                <w:szCs w:val="21"/>
              </w:rPr>
              <w:lastRenderedPageBreak/>
              <w:t>数据的受控、真实，并形成完整的验证文件。</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第五十六条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对于多中心临床试验，申办者应当保证在临床试验前已制定文件，明确协调研究者和其他研究者的职责分工。</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第五十七条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对于多中心临床试验，申办者应当按照临床试验方案组织制定标准操作规程，并组织对参与试验的所有研究者进行临床试验方案和试验用医疗器械使用和维护的培训，确保在临床试验方案执行、试验用医疗器械使用方面的一致性。</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第五十八条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在多中心临床试验中，申办者应当保证病例报告表的设计严谨合理，能够使协调研究者获得各分中心临床试验机构的所有数据。</w:t>
            </w:r>
          </w:p>
          <w:p w:rsidR="00C41E55" w:rsidRPr="00C41E55" w:rsidRDefault="00C41E55" w:rsidP="00C41E55">
            <w:pPr>
              <w:widowControl/>
              <w:wordWrap w:val="0"/>
              <w:spacing w:before="100" w:beforeAutospacing="1" w:after="100" w:afterAutospacing="1" w:line="480" w:lineRule="auto"/>
              <w:jc w:val="center"/>
              <w:rPr>
                <w:rFonts w:ascii="ˎ̥" w:eastAsia="宋体" w:hAnsi="ˎ̥" w:cs="Arial"/>
                <w:color w:val="000000"/>
                <w:kern w:val="0"/>
                <w:szCs w:val="21"/>
              </w:rPr>
            </w:pPr>
            <w:r w:rsidRPr="00C41E55">
              <w:rPr>
                <w:rFonts w:ascii="ˎ̥" w:eastAsia="宋体" w:hAnsi="ˎ̥" w:cs="Arial"/>
                <w:b/>
                <w:bCs/>
                <w:color w:val="000000"/>
                <w:kern w:val="0"/>
              </w:rPr>
              <w:t>第七章</w:t>
            </w:r>
            <w:r w:rsidRPr="00C41E55">
              <w:rPr>
                <w:rFonts w:ascii="ˎ̥" w:eastAsia="宋体" w:hAnsi="ˎ̥" w:cs="Arial"/>
                <w:b/>
                <w:bCs/>
                <w:color w:val="000000"/>
                <w:kern w:val="0"/>
              </w:rPr>
              <w:t xml:space="preserve"> </w:t>
            </w:r>
            <w:r w:rsidRPr="00C41E55">
              <w:rPr>
                <w:rFonts w:ascii="ˎ̥" w:eastAsia="宋体" w:hAnsi="ˎ̥" w:cs="Arial"/>
                <w:b/>
                <w:bCs/>
                <w:color w:val="000000"/>
                <w:kern w:val="0"/>
              </w:rPr>
              <w:t>临床试验机构和研究者职责</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第五十九条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临床试验机构在接受临床试验前，应当根据试验用医疗器械的特性，对相关资源进行评估，以决定是否接受该临床试验。</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第六十条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临床试验机构应当按照与申办者的约定妥善保存临床试验记录和基本文件。</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第六十一条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负责临床试验的研究者应当具备下列条件：</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（一）在该临床试验机构中具有副主任医师、副教授、副研究员等副高级以上相关专业技术职称和资质；</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（二）具有试验用医疗器械所要求的专业知识和经验，必要时应当经过有关培训；</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（三）熟悉申办者要求和其所提供的与临床试验有关的资料、文献；</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（四）有能力协调、支配和使用进行该项试验的人员和设备，且有能力处理试验用医疗</w:t>
            </w:r>
            <w:r w:rsidRPr="00C41E55">
              <w:rPr>
                <w:rFonts w:ascii="ˎ̥" w:eastAsia="宋体" w:hAnsi="ˎ̥" w:cs="Arial"/>
                <w:color w:val="000000"/>
                <w:kern w:val="0"/>
                <w:szCs w:val="21"/>
              </w:rPr>
              <w:lastRenderedPageBreak/>
              <w:t>器械发生的不良事件和其他关联事件；</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（五）熟悉国家有关法律、法规以及本规范。</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第六十二条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临床试验前，临床试验机构的医疗器械临床试验管理部门应当配合申办者向伦理委员会提出申请，并按照规定递交相关文件。</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第六十三条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研究者应当确保参与试验的有关工作人员熟悉试验用医疗器械的原理、适用范围、产品性能、操作方法、安装要求以及技术指标，了解该试验用医疗器械的临床前研究资料和安全性资料，掌握临床试验可能产生风险的防范以及紧急处理方法。</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第六十四条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研究者应当保证所有临床试验参与人员充分了解临床试验方案、相关规定、试验用医疗器械特性以及与临床试验相关的职责，并确保有足够数量并符合临床试验方案入选标准的受试者进入临床试验、确保有足够的时间在协议约定的试验期内，按照相关规定安全地实施和完成临床试验。</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第六十五条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研究者应当保证将试验用医疗器械只用于该临床试验的受试者，并不得收取任何费用。</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第六十六条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研究者应当严格遵循临床试验方案，未经申办者和伦理委员会的同意，或者未按照规定经国家食品药品监督管理总局批准，不得偏离方案或者实质性改变方案。但在受试者面临直接危险等需要立即消除的紧急情况下，也可以事后以书面形式报告。</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第六十七条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研究者负责招募受试者、与受试者或者其监护人谈话。研究者有责任向受试者说明试验用医疗器械以及临床试验有关的详细情况，告知受试者可能的受益和已知的、</w:t>
            </w:r>
            <w:r w:rsidRPr="00C41E55">
              <w:rPr>
                <w:rFonts w:ascii="ˎ̥" w:eastAsia="宋体" w:hAnsi="ˎ̥" w:cs="Arial"/>
                <w:color w:val="000000"/>
                <w:kern w:val="0"/>
                <w:szCs w:val="21"/>
              </w:rPr>
              <w:lastRenderedPageBreak/>
              <w:t>可以预见的风险，并取得受试者或者其监护人签字和注明日期的知情同意书。</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第六十八条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研究者或者参与试验的其他人员，不应当强迫或者以其他不正当方式诱使受试者参加试验。</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第六十九条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研究者在临床试验中发现试验用医疗器械预期以外的不良事件时，应当和申办者共同对知情同意</w:t>
            </w:r>
            <w:proofErr w:type="gramStart"/>
            <w:r w:rsidRPr="00C41E55">
              <w:rPr>
                <w:rFonts w:ascii="ˎ̥" w:eastAsia="宋体" w:hAnsi="ˎ̥" w:cs="Arial"/>
                <w:color w:val="000000"/>
                <w:kern w:val="0"/>
                <w:szCs w:val="21"/>
              </w:rPr>
              <w:t>书相关</w:t>
            </w:r>
            <w:proofErr w:type="gramEnd"/>
            <w:r w:rsidRPr="00C41E55">
              <w:rPr>
                <w:rFonts w:ascii="ˎ̥" w:eastAsia="宋体" w:hAnsi="ˎ̥" w:cs="Arial"/>
                <w:color w:val="000000"/>
                <w:kern w:val="0"/>
                <w:szCs w:val="21"/>
              </w:rPr>
              <w:t>内容进行修改，按照相关工作程序报伦理委员会审查同意后，由受影响的受试者或者其监护人对修改后的知情同意书进行重新签名确认。</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第七十条</w:t>
            </w:r>
            <w:r w:rsidRPr="00C41E55">
              <w:rPr>
                <w:rFonts w:ascii="ˎ̥" w:eastAsia="宋体" w:hAnsi="ˎ̥" w:cs="Arial"/>
                <w:b/>
                <w:bCs/>
                <w:color w:val="000000"/>
                <w:kern w:val="0"/>
              </w:rPr>
              <w:t xml:space="preserve"> </w:t>
            </w:r>
            <w:r w:rsidRPr="00C41E55">
              <w:rPr>
                <w:rFonts w:ascii="ˎ̥" w:eastAsia="宋体" w:hAnsi="ˎ̥" w:cs="Arial"/>
                <w:color w:val="000000"/>
                <w:kern w:val="0"/>
                <w:szCs w:val="21"/>
              </w:rPr>
              <w:t>研究者负责</w:t>
            </w:r>
            <w:proofErr w:type="gramStart"/>
            <w:r w:rsidRPr="00C41E55">
              <w:rPr>
                <w:rFonts w:ascii="ˎ̥" w:eastAsia="宋体" w:hAnsi="ˎ̥" w:cs="Arial"/>
                <w:color w:val="000000"/>
                <w:kern w:val="0"/>
                <w:szCs w:val="21"/>
              </w:rPr>
              <w:t>作出</w:t>
            </w:r>
            <w:proofErr w:type="gramEnd"/>
            <w:r w:rsidRPr="00C41E55">
              <w:rPr>
                <w:rFonts w:ascii="ˎ̥" w:eastAsia="宋体" w:hAnsi="ˎ̥" w:cs="Arial"/>
                <w:color w:val="000000"/>
                <w:kern w:val="0"/>
                <w:szCs w:val="21"/>
              </w:rPr>
              <w:t>与临床试验相关的医疗决定，在发生与临床试验相关的不良事件时，临床试验机构和研究者应当保证为受试者提供足够、及时的治疗和处理。当受试者出现并发疾病需要治疗和处理时，研究者应当及时告知受试者。</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第七十一条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在临床试验中出现严重不良事件的，研究者应当立即对受试者采取适当的治疗措施，同时书面报告所属的临床试验机构医疗器械临床试验管理部门，并经其书面通知申办者。医疗器械临床试验管理部门应当在</w:t>
            </w:r>
            <w:r w:rsidRPr="00C41E55">
              <w:rPr>
                <w:rFonts w:ascii="ˎ̥" w:eastAsia="宋体" w:hAnsi="ˎ̥" w:cs="Arial"/>
                <w:color w:val="000000"/>
                <w:kern w:val="0"/>
                <w:szCs w:val="21"/>
              </w:rPr>
              <w:t>24</w:t>
            </w:r>
            <w:r w:rsidRPr="00C41E55">
              <w:rPr>
                <w:rFonts w:ascii="ˎ̥" w:eastAsia="宋体" w:hAnsi="ˎ̥" w:cs="Arial"/>
                <w:color w:val="000000"/>
                <w:kern w:val="0"/>
                <w:szCs w:val="21"/>
              </w:rPr>
              <w:t>小时内书面报告相应的伦理委员会以及临床试验机构所在地省、自治区、直辖市食品药品监督管理部门和卫生计生主管部门。对于死亡事件，临床试验机构和研究者应当向伦理委员会和申办者提供所需要的全部资料。</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第七十二条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研究者应当记录临床试验过程中发生的所有不良事件和发现的器械缺陷，并与申办者共同分析事件原因，形成书面分析报告，提出继续、暂停或者终止试验的意见，经临床试验机构医疗器械临床试验管理部门报伦理委员会审查。</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第七十三条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研究者应当保证将临床试验数据准确、完整、清晰、及时地载入病例报告表。病例报告表由研究者签署姓名，任何数据的更改均应当由研究者签名并标注日期，同时</w:t>
            </w:r>
            <w:r w:rsidRPr="00C41E55">
              <w:rPr>
                <w:rFonts w:ascii="ˎ̥" w:eastAsia="宋体" w:hAnsi="ˎ̥" w:cs="Arial"/>
                <w:color w:val="000000"/>
                <w:kern w:val="0"/>
                <w:szCs w:val="21"/>
              </w:rPr>
              <w:lastRenderedPageBreak/>
              <w:t>保留原始记录，原始记录应当清晰可辨识。</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第七十四条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临床试验机构和研究者应当确保临床试验所形成数据、文件和记录的真实、准确、清晰、安全。</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第七十五条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临床试验机构和研究者应当接受申办者的监查、核查以及伦理委员会的监督，并提供所需的与试验有关的全部记录。食品药品监督管理部门、卫生计生主管部门派检查员开展检查的，</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临床试验机构和研究者应当予以配合。</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第七十六条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临床试验机构和研究者发现风险超过可能的受益，或者已经得出足以判断试验用医疗器械安全性和有效性的结果等，需要暂停或者终止临床试验时，应当通知受试者，并保证受试者得到适当治疗和随访，同时按照规定报告，提供详细书面解释。必要时，报告所在地省、自治区、直辖市食品药品监督管理部门。</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研究者接到申办者或者伦理委员会需要暂停或者终止临床试验的通知时，应当及时通知受试者，并保证受试者得到适当治疗和随访。</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第七十七条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临床试验机构和研究者对申办者违反有关规定或者要求改变试验数据、结论的，应当向申办者所在地省、自治区、直辖市食品药品监督管理部门或者国家食品药品监督管理总局报告。</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第七十八条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临床试验结束时，研究者应当确保完成各项记录、报告。同时，研究者还应当确保收到的试验用医疗器械与所使用的、废弃的或者返还的数量相符合，确保剩余的试验用医疗器械妥善处理并记录存档。</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第七十九条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研究者可以根据临床试验的需要，授权相应人员进行受试者招募、与受试</w:t>
            </w:r>
            <w:r w:rsidRPr="00C41E55">
              <w:rPr>
                <w:rFonts w:ascii="ˎ̥" w:eastAsia="宋体" w:hAnsi="ˎ̥" w:cs="Arial"/>
                <w:color w:val="000000"/>
                <w:kern w:val="0"/>
                <w:szCs w:val="21"/>
              </w:rPr>
              <w:lastRenderedPageBreak/>
              <w:t>者持续沟通、临床试验数据记录、试验用医疗器械管理等。研究者应当对其授权的人员进行相关的培训并形成相应的文件。</w:t>
            </w:r>
          </w:p>
          <w:p w:rsidR="00C41E55" w:rsidRPr="00C41E55" w:rsidRDefault="00C41E55" w:rsidP="00C41E55">
            <w:pPr>
              <w:widowControl/>
              <w:wordWrap w:val="0"/>
              <w:spacing w:before="100" w:beforeAutospacing="1" w:after="100" w:afterAutospacing="1" w:line="480" w:lineRule="auto"/>
              <w:jc w:val="center"/>
              <w:rPr>
                <w:rFonts w:ascii="ˎ̥" w:eastAsia="宋体" w:hAnsi="ˎ̥" w:cs="Arial"/>
                <w:color w:val="000000"/>
                <w:kern w:val="0"/>
                <w:szCs w:val="21"/>
              </w:rPr>
            </w:pPr>
            <w:r w:rsidRPr="00C41E55">
              <w:rPr>
                <w:rFonts w:ascii="ˎ̥" w:eastAsia="宋体" w:hAnsi="ˎ̥" w:cs="Arial"/>
                <w:b/>
                <w:bCs/>
                <w:color w:val="000000"/>
                <w:kern w:val="0"/>
              </w:rPr>
              <w:t>第八章</w:t>
            </w:r>
            <w:r w:rsidRPr="00C41E55">
              <w:rPr>
                <w:rFonts w:ascii="ˎ̥" w:eastAsia="宋体" w:hAnsi="ˎ̥" w:cs="Arial"/>
                <w:b/>
                <w:bCs/>
                <w:color w:val="000000"/>
                <w:kern w:val="0"/>
              </w:rPr>
              <w:t xml:space="preserve"> </w:t>
            </w:r>
            <w:r w:rsidRPr="00C41E55">
              <w:rPr>
                <w:rFonts w:ascii="ˎ̥" w:eastAsia="宋体" w:hAnsi="ˎ̥" w:cs="Arial"/>
                <w:b/>
                <w:bCs/>
                <w:color w:val="000000"/>
                <w:kern w:val="0"/>
              </w:rPr>
              <w:t>记录与报告</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第八十条</w:t>
            </w:r>
            <w:r w:rsidRPr="00C41E55">
              <w:rPr>
                <w:rFonts w:ascii="ˎ̥" w:eastAsia="宋体" w:hAnsi="ˎ̥" w:cs="Arial"/>
                <w:b/>
                <w:bCs/>
                <w:color w:val="000000"/>
                <w:kern w:val="0"/>
              </w:rPr>
              <w:t xml:space="preserve"> </w:t>
            </w:r>
            <w:r w:rsidRPr="00C41E55">
              <w:rPr>
                <w:rFonts w:ascii="ˎ̥" w:eastAsia="宋体" w:hAnsi="ˎ̥" w:cs="Arial"/>
                <w:color w:val="000000"/>
                <w:kern w:val="0"/>
                <w:szCs w:val="21"/>
              </w:rPr>
              <w:t>在临床试验中，研究者应当确保将任何观察与发现均正确完整地予以记录，并认真填写病例报告表。记录至少应当包括：</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（一）所使用的试验用医疗器械的信息，包括名称、型号、规格、接收日期、批号或者系列号等；</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（二）每个受试者相关的病史以及病情进展等医疗记录、护理记录等；</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（三）每个受试者使用试验用医疗器械的记录，包括每次使用的日期、时间、试验用医疗器械的状态等；</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（四）记录者的签名以及日期。</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第八十一条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临床试验记录作为原始资料，不得随意更改；确需作更改时应当说明理由，签名并注明日期。</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w:t>
            </w:r>
            <w:proofErr w:type="gramStart"/>
            <w:r w:rsidRPr="00C41E55">
              <w:rPr>
                <w:rFonts w:ascii="ˎ̥" w:eastAsia="宋体" w:hAnsi="ˎ̥" w:cs="Arial"/>
                <w:color w:val="000000"/>
                <w:kern w:val="0"/>
                <w:szCs w:val="21"/>
              </w:rPr>
              <w:t>对显著</w:t>
            </w:r>
            <w:proofErr w:type="gramEnd"/>
            <w:r w:rsidRPr="00C41E55">
              <w:rPr>
                <w:rFonts w:ascii="ˎ̥" w:eastAsia="宋体" w:hAnsi="ˎ̥" w:cs="Arial"/>
                <w:color w:val="000000"/>
                <w:kern w:val="0"/>
                <w:szCs w:val="21"/>
              </w:rPr>
              <w:t>偏离临床试验方案或者在临床可接受范围以外的数据应当加以核实，由研究者作必要的说明。</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第八十二条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申办者应当准确、完整地记录与临床试验相关的信息，内容包括：</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（一）试验用医疗器械运送和处理记录，包括名称、型号、规格、批号或者序列号，接收人的姓名、地址，运送日期，退回维修或者临床试验后医疗器械样品回收与处置日期、原因和处理方法等；</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（二）与临床试验机构签订的协议；</w:t>
            </w:r>
            <w:r w:rsidRPr="00C41E55">
              <w:rPr>
                <w:rFonts w:ascii="ˎ̥" w:eastAsia="宋体" w:hAnsi="ˎ̥" w:cs="Arial"/>
                <w:color w:val="000000"/>
                <w:kern w:val="0"/>
                <w:sz w:val="18"/>
                <w:szCs w:val="18"/>
              </w:rPr>
              <w:br/>
            </w:r>
            <w:r w:rsidRPr="00C41E55">
              <w:rPr>
                <w:rFonts w:ascii="ˎ̥" w:eastAsia="宋体" w:hAnsi="ˎ̥" w:cs="Arial"/>
                <w:color w:val="000000"/>
                <w:kern w:val="0"/>
                <w:szCs w:val="21"/>
              </w:rPr>
              <w:lastRenderedPageBreak/>
              <w:t xml:space="preserve">　　（三）监查报告、核查报告；</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（四）严重不良事件和可能导致严重不良事件的器械缺陷的记录与报告。</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第八十三条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研究者应当按照临床试验方案的设计要求，验证或者确认试验用医疗器械的安全性和有效性，并完成临床试验报告。多中心临床试验的临床试验报告应当包含各分中心的临床试验小结。</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第八十四条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对于多中心临床试验，各分中心临床试验小结应当至少包括临床试验概况、临床一般资料、试验用医疗器械以及对照用医疗器械的信息描述、安全性和有效性数据集、不良事件的发生率以及处理情况、方案偏离情况说明等，并附病例报告表。</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第八十五条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临床试验报告应当与临床试验方案一致，主要包括：</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（一）一般信息；</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（二）摘要；</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（三）简介；</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（四）临床试验目的；</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（五）临床试验方法；</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（六）临床试验内容；</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（七）临床一般资料；</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（八）试验用医疗器械和对照用医疗器械或者对照诊疗方法；</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（九）所采用的统计分析方法以及评价方法；</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（十）临床评价标准；</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（十一）临床试验的组织结构；</w:t>
            </w:r>
            <w:r w:rsidRPr="00C41E55">
              <w:rPr>
                <w:rFonts w:ascii="ˎ̥" w:eastAsia="宋体" w:hAnsi="ˎ̥" w:cs="Arial"/>
                <w:color w:val="000000"/>
                <w:kern w:val="0"/>
                <w:sz w:val="18"/>
                <w:szCs w:val="18"/>
              </w:rPr>
              <w:br/>
            </w:r>
            <w:r w:rsidRPr="00C41E55">
              <w:rPr>
                <w:rFonts w:ascii="ˎ̥" w:eastAsia="宋体" w:hAnsi="ˎ̥" w:cs="Arial"/>
                <w:color w:val="000000"/>
                <w:kern w:val="0"/>
                <w:szCs w:val="21"/>
              </w:rPr>
              <w:lastRenderedPageBreak/>
              <w:t xml:space="preserve">　　（十二）伦理情况说明；</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（十三）临床试验结果；</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（十四）临床试验中发现的不良事件以及其处理情况；</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（十五）临床试验结果分析、讨论，尤其是适应症、适用范围、禁忌症和注意事项；</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（十六）临床试验结论；</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（十七）存在问题以及改进建议；</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（十八）试验人员名单；</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（十九）其他需要说明的情况。</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第八十六条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临床试验报告应当由研究者签名、注明日期，经临床试验机构医疗器械临床试验管理部门审核出具意见、注明日期并加盖临床试验机构印章后交申办者。</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多中心临床试验中，各分中心临床试验小结应当由该中心的研究者签名并注明日期，经该中心的医疗器械临床试验管理部门审核、注明日期并加盖临床试验机构印章后交牵头单位。</w:t>
            </w:r>
          </w:p>
          <w:p w:rsidR="00C41E55" w:rsidRPr="00C41E55" w:rsidRDefault="00C41E55" w:rsidP="00C41E55">
            <w:pPr>
              <w:widowControl/>
              <w:wordWrap w:val="0"/>
              <w:spacing w:before="100" w:beforeAutospacing="1" w:after="100" w:afterAutospacing="1" w:line="480" w:lineRule="auto"/>
              <w:jc w:val="center"/>
              <w:rPr>
                <w:rFonts w:ascii="ˎ̥" w:eastAsia="宋体" w:hAnsi="ˎ̥" w:cs="Arial"/>
                <w:color w:val="000000"/>
                <w:kern w:val="0"/>
                <w:szCs w:val="21"/>
              </w:rPr>
            </w:pPr>
            <w:r w:rsidRPr="00C41E55">
              <w:rPr>
                <w:rFonts w:ascii="ˎ̥" w:eastAsia="宋体" w:hAnsi="ˎ̥" w:cs="Arial"/>
                <w:b/>
                <w:bCs/>
                <w:color w:val="000000"/>
                <w:kern w:val="0"/>
              </w:rPr>
              <w:t>第九章</w:t>
            </w:r>
            <w:r w:rsidRPr="00C41E55">
              <w:rPr>
                <w:rFonts w:ascii="ˎ̥" w:eastAsia="宋体" w:hAnsi="ˎ̥" w:cs="Arial"/>
                <w:b/>
                <w:bCs/>
                <w:color w:val="000000"/>
                <w:kern w:val="0"/>
              </w:rPr>
              <w:t xml:space="preserve"> </w:t>
            </w:r>
            <w:r w:rsidRPr="00C41E55">
              <w:rPr>
                <w:rFonts w:ascii="ˎ̥" w:eastAsia="宋体" w:hAnsi="ˎ̥" w:cs="Arial"/>
                <w:b/>
                <w:bCs/>
                <w:color w:val="000000"/>
                <w:kern w:val="0"/>
              </w:rPr>
              <w:t>试验用医疗器械管理</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第八十七条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申办者应当参照国家食品药品监督管理总局有关医疗器械说明书和标签管理的规定，对试验用医疗器械作适当的标识，并标注</w:t>
            </w:r>
            <w:r w:rsidRPr="00C41E55">
              <w:rPr>
                <w:rFonts w:ascii="ˎ̥" w:eastAsia="宋体" w:hAnsi="ˎ̥" w:cs="Arial"/>
                <w:color w:val="000000"/>
                <w:kern w:val="0"/>
                <w:szCs w:val="21"/>
              </w:rPr>
              <w:t>“</w:t>
            </w:r>
            <w:r w:rsidRPr="00C41E55">
              <w:rPr>
                <w:rFonts w:ascii="ˎ̥" w:eastAsia="宋体" w:hAnsi="ˎ̥" w:cs="Arial"/>
                <w:color w:val="000000"/>
                <w:kern w:val="0"/>
                <w:szCs w:val="21"/>
              </w:rPr>
              <w:t>试验用</w:t>
            </w:r>
            <w:r w:rsidRPr="00C41E55">
              <w:rPr>
                <w:rFonts w:ascii="ˎ̥" w:eastAsia="宋体" w:hAnsi="ˎ̥" w:cs="Arial"/>
                <w:color w:val="000000"/>
                <w:kern w:val="0"/>
                <w:szCs w:val="21"/>
              </w:rPr>
              <w:t>”</w:t>
            </w:r>
            <w:r w:rsidRPr="00C41E55">
              <w:rPr>
                <w:rFonts w:ascii="ˎ̥" w:eastAsia="宋体" w:hAnsi="ˎ̥" w:cs="Arial"/>
                <w:color w:val="000000"/>
                <w:kern w:val="0"/>
                <w:szCs w:val="21"/>
              </w:rPr>
              <w:t>。</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第八十八条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试验用医疗器械的记录包括生产日期、产品批号、序列号等与生产有关的记录，与产品质量和稳定性有关的检验记录，运输、维护、交付各临床试验机构使用的记录，以及试验后回收与处置日期等方面的信息。</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lastRenderedPageBreak/>
              <w:t xml:space="preserve">　　第八十九条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试验用医疗器械的使用由临床试验机构和研究者负责，研究者应当保证所有试验用医疗器械仅用于该临床试验的受试者，在试验期间按照要求储存和保管试验用医疗器械，在临床试验后按照国家有关规定和与申办者的协议对试验用医疗器械进行处理。上述过程需由专人负责并记录。研究者不得把试验用医疗器械转交任何非临床试验参加者。</w:t>
            </w:r>
          </w:p>
          <w:p w:rsidR="00C41E55" w:rsidRPr="00C41E55" w:rsidRDefault="00C41E55" w:rsidP="00C41E55">
            <w:pPr>
              <w:widowControl/>
              <w:wordWrap w:val="0"/>
              <w:spacing w:before="100" w:beforeAutospacing="1" w:after="100" w:afterAutospacing="1" w:line="480" w:lineRule="auto"/>
              <w:jc w:val="center"/>
              <w:rPr>
                <w:rFonts w:ascii="ˎ̥" w:eastAsia="宋体" w:hAnsi="ˎ̥" w:cs="Arial"/>
                <w:color w:val="000000"/>
                <w:kern w:val="0"/>
                <w:szCs w:val="21"/>
              </w:rPr>
            </w:pPr>
            <w:r w:rsidRPr="00C41E55">
              <w:rPr>
                <w:rFonts w:ascii="ˎ̥" w:eastAsia="宋体" w:hAnsi="ˎ̥" w:cs="Arial"/>
                <w:b/>
                <w:bCs/>
                <w:color w:val="000000"/>
                <w:kern w:val="0"/>
              </w:rPr>
              <w:t>第十章</w:t>
            </w:r>
            <w:r w:rsidRPr="00C41E55">
              <w:rPr>
                <w:rFonts w:ascii="ˎ̥" w:eastAsia="宋体" w:hAnsi="ˎ̥" w:cs="Arial"/>
                <w:b/>
                <w:bCs/>
                <w:color w:val="000000"/>
                <w:kern w:val="0"/>
              </w:rPr>
              <w:t xml:space="preserve"> </w:t>
            </w:r>
            <w:r w:rsidRPr="00C41E55">
              <w:rPr>
                <w:rFonts w:ascii="ˎ̥" w:eastAsia="宋体" w:hAnsi="ˎ̥" w:cs="Arial"/>
                <w:b/>
                <w:bCs/>
                <w:color w:val="000000"/>
                <w:kern w:val="0"/>
              </w:rPr>
              <w:t>基本文件管理</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第九十条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临床试验机构、研究者、申办者应当建立基本文件保存制度。临床试验基本文件按临床试验阶段分为三部分：准备阶段文件、进行阶段文件和终止或者完成后文件。</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第九十一条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临床试验机构应当保存临床试验资料至临床试验结束后</w:t>
            </w:r>
            <w:r w:rsidRPr="00C41E55">
              <w:rPr>
                <w:rFonts w:ascii="ˎ̥" w:eastAsia="宋体" w:hAnsi="ˎ̥" w:cs="Arial"/>
                <w:color w:val="000000"/>
                <w:kern w:val="0"/>
                <w:szCs w:val="21"/>
              </w:rPr>
              <w:t>10</w:t>
            </w:r>
            <w:r w:rsidRPr="00C41E55">
              <w:rPr>
                <w:rFonts w:ascii="ˎ̥" w:eastAsia="宋体" w:hAnsi="ˎ̥" w:cs="Arial"/>
                <w:color w:val="000000"/>
                <w:kern w:val="0"/>
                <w:szCs w:val="21"/>
              </w:rPr>
              <w:t>年。申办者应当保存临床试验资料至无该医疗器械使用时。</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第九十二条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临床试验基本文件可以用于评价申办者、临床试验机构和研究者对本规范和食品药品监督管理部门有关要求的执行情况。食品药品监督管理部门可以对临床试验基本文件进行检查。</w:t>
            </w:r>
          </w:p>
          <w:p w:rsidR="00C41E55" w:rsidRPr="00C41E55" w:rsidRDefault="00C41E55" w:rsidP="00C41E55">
            <w:pPr>
              <w:widowControl/>
              <w:wordWrap w:val="0"/>
              <w:spacing w:before="100" w:beforeAutospacing="1" w:after="100" w:afterAutospacing="1" w:line="480" w:lineRule="auto"/>
              <w:jc w:val="center"/>
              <w:rPr>
                <w:rFonts w:ascii="ˎ̥" w:eastAsia="宋体" w:hAnsi="ˎ̥" w:cs="Arial"/>
                <w:color w:val="000000"/>
                <w:kern w:val="0"/>
                <w:szCs w:val="21"/>
              </w:rPr>
            </w:pPr>
            <w:r w:rsidRPr="00C41E55">
              <w:rPr>
                <w:rFonts w:ascii="ˎ̥" w:eastAsia="宋体" w:hAnsi="ˎ̥" w:cs="Arial"/>
                <w:b/>
                <w:bCs/>
                <w:color w:val="000000"/>
                <w:kern w:val="0"/>
              </w:rPr>
              <w:t>第十一章</w:t>
            </w:r>
            <w:r w:rsidRPr="00C41E55">
              <w:rPr>
                <w:rFonts w:ascii="ˎ̥" w:eastAsia="宋体" w:hAnsi="ˎ̥" w:cs="Arial"/>
                <w:b/>
                <w:bCs/>
                <w:color w:val="000000"/>
                <w:kern w:val="0"/>
              </w:rPr>
              <w:t xml:space="preserve"> </w:t>
            </w:r>
            <w:r w:rsidRPr="00C41E55">
              <w:rPr>
                <w:rFonts w:ascii="ˎ̥" w:eastAsia="宋体" w:hAnsi="ˎ̥" w:cs="Arial"/>
                <w:b/>
                <w:bCs/>
                <w:color w:val="000000"/>
                <w:kern w:val="0"/>
              </w:rPr>
              <w:t>附</w:t>
            </w:r>
            <w:r w:rsidRPr="00C41E55">
              <w:rPr>
                <w:rFonts w:ascii="ˎ̥" w:eastAsia="宋体" w:hAnsi="ˎ̥" w:cs="Arial"/>
                <w:b/>
                <w:bCs/>
                <w:color w:val="000000"/>
                <w:kern w:val="0"/>
              </w:rPr>
              <w:t xml:space="preserve"> </w:t>
            </w:r>
            <w:r w:rsidRPr="00C41E55">
              <w:rPr>
                <w:rFonts w:ascii="ˎ̥" w:eastAsia="宋体" w:hAnsi="ˎ̥" w:cs="Arial"/>
                <w:b/>
                <w:bCs/>
                <w:color w:val="000000"/>
                <w:kern w:val="0"/>
              </w:rPr>
              <w:t>则</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第九十三条</w:t>
            </w:r>
            <w:r w:rsidRPr="00C41E55">
              <w:rPr>
                <w:rFonts w:ascii="ˎ̥" w:eastAsia="宋体" w:hAnsi="ˎ̥" w:cs="Arial"/>
                <w:b/>
                <w:bCs/>
                <w:color w:val="000000"/>
                <w:kern w:val="0"/>
              </w:rPr>
              <w:t xml:space="preserve"> </w:t>
            </w:r>
            <w:r w:rsidRPr="00C41E55">
              <w:rPr>
                <w:rFonts w:ascii="ˎ̥" w:eastAsia="宋体" w:hAnsi="ˎ̥" w:cs="Arial"/>
                <w:color w:val="000000"/>
                <w:kern w:val="0"/>
                <w:szCs w:val="21"/>
              </w:rPr>
              <w:t>本规范下列用语的含义：</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医疗器械临床试验机构，是指经国家食品药品监督管理总局会同国家卫生和计划生育委员会认定的承担医疗器械临床试验的医疗机构。如无特别说明，本规范中</w:t>
            </w:r>
            <w:r w:rsidRPr="00C41E55">
              <w:rPr>
                <w:rFonts w:ascii="ˎ̥" w:eastAsia="宋体" w:hAnsi="ˎ̥" w:cs="Arial"/>
                <w:color w:val="000000"/>
                <w:kern w:val="0"/>
                <w:szCs w:val="21"/>
              </w:rPr>
              <w:t>“</w:t>
            </w:r>
            <w:r w:rsidRPr="00C41E55">
              <w:rPr>
                <w:rFonts w:ascii="ˎ̥" w:eastAsia="宋体" w:hAnsi="ˎ̥" w:cs="Arial"/>
                <w:color w:val="000000"/>
                <w:kern w:val="0"/>
                <w:szCs w:val="21"/>
              </w:rPr>
              <w:t>临床试验机构</w:t>
            </w:r>
            <w:r w:rsidRPr="00C41E55">
              <w:rPr>
                <w:rFonts w:ascii="ˎ̥" w:eastAsia="宋体" w:hAnsi="ˎ̥" w:cs="Arial"/>
                <w:color w:val="000000"/>
                <w:kern w:val="0"/>
                <w:szCs w:val="21"/>
              </w:rPr>
              <w:t>”</w:t>
            </w:r>
            <w:r w:rsidRPr="00C41E55">
              <w:rPr>
                <w:rFonts w:ascii="ˎ̥" w:eastAsia="宋体" w:hAnsi="ˎ̥" w:cs="Arial"/>
                <w:color w:val="000000"/>
                <w:kern w:val="0"/>
                <w:szCs w:val="21"/>
              </w:rPr>
              <w:t>即指</w:t>
            </w:r>
            <w:r w:rsidRPr="00C41E55">
              <w:rPr>
                <w:rFonts w:ascii="ˎ̥" w:eastAsia="宋体" w:hAnsi="ˎ̥" w:cs="Arial"/>
                <w:color w:val="000000"/>
                <w:kern w:val="0"/>
                <w:szCs w:val="21"/>
              </w:rPr>
              <w:t>“</w:t>
            </w:r>
            <w:r w:rsidRPr="00C41E55">
              <w:rPr>
                <w:rFonts w:ascii="ˎ̥" w:eastAsia="宋体" w:hAnsi="ˎ̥" w:cs="Arial"/>
                <w:color w:val="000000"/>
                <w:kern w:val="0"/>
                <w:szCs w:val="21"/>
              </w:rPr>
              <w:t>医疗器械临床试验机构</w:t>
            </w:r>
            <w:r w:rsidRPr="00C41E55">
              <w:rPr>
                <w:rFonts w:ascii="ˎ̥" w:eastAsia="宋体" w:hAnsi="ˎ̥" w:cs="Arial"/>
                <w:color w:val="000000"/>
                <w:kern w:val="0"/>
                <w:szCs w:val="21"/>
              </w:rPr>
              <w:t>”</w:t>
            </w:r>
            <w:r w:rsidRPr="00C41E55">
              <w:rPr>
                <w:rFonts w:ascii="ˎ̥" w:eastAsia="宋体" w:hAnsi="ˎ̥" w:cs="Arial"/>
                <w:color w:val="000000"/>
                <w:kern w:val="0"/>
                <w:szCs w:val="21"/>
              </w:rPr>
              <w:t>。</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试验用医疗器械，是指临床试验中对其安全性、有效性进行确认或者验证的拟申请注册的医疗器械。</w:t>
            </w:r>
            <w:r w:rsidRPr="00C41E55">
              <w:rPr>
                <w:rFonts w:ascii="ˎ̥" w:eastAsia="宋体" w:hAnsi="ˎ̥" w:cs="Arial"/>
                <w:color w:val="000000"/>
                <w:kern w:val="0"/>
                <w:sz w:val="18"/>
                <w:szCs w:val="18"/>
              </w:rPr>
              <w:br/>
            </w:r>
            <w:r w:rsidRPr="00C41E55">
              <w:rPr>
                <w:rFonts w:ascii="ˎ̥" w:eastAsia="宋体" w:hAnsi="ˎ̥" w:cs="Arial"/>
                <w:color w:val="000000"/>
                <w:kern w:val="0"/>
                <w:szCs w:val="21"/>
              </w:rPr>
              <w:lastRenderedPageBreak/>
              <w:t xml:space="preserve">　　申办者，是指临床试验的发起、管理和提供财务支持的机构或者组织。</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研究者，是指在临床试验机构中负责实施临床试验的人。如果在临床试验机构中是由一组人员实施试验的，则研究者是指该组的负责人，也称主要研究者。</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伦理委员会，是指临床试验机构设置的对医疗器械临床试验项目的科学性和伦理性进行审查的独立的机构。</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医疗器械临床试验管理部门，是指临床试验机构内设置的负责医疗器械临床试验组织管理和质量控制的处室或者部门。</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多中心临床试验，是指按照同一临床试验方案，在三个以上（含三个）临床试验机构实施的临床试验。</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受试者，是指被招募接受医疗器械临床试验的个人。</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知情同意，是指向受试者告知临床试验的各方面情况后，受试者确认自愿参加该项临床试验的过程，应当以签名和注明日期的知情同意书作为证明文件。</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知情同意书，是指受试者表示自愿参加临床试验的证明性文件。</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监查，是指申办者为保证开展的临床试验能够遵循临床试验方案、标准操作规程、本规范和有关适用的管理要求，选派专门人员对临床试验机构、研究者进行评价调查，对临床试验过程中的数据进行验证并记录和报告的活动。</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监查员，是指申办者选派的对医疗器械临床试验项目进行监查的专门人员。</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核查，是指由申办者组织的对临床试验相关活动和文件进行系统性的独立检查，以确定此类活动的执行、数据的记录、分析和报告是否符合临床试验方案、标准操作规程、本规范和有关适用的管理要求。</w:t>
            </w:r>
            <w:r w:rsidRPr="00C41E55">
              <w:rPr>
                <w:rFonts w:ascii="ˎ̥" w:eastAsia="宋体" w:hAnsi="ˎ̥" w:cs="Arial"/>
                <w:color w:val="000000"/>
                <w:kern w:val="0"/>
                <w:szCs w:val="21"/>
              </w:rPr>
              <w:t xml:space="preserve"> </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核查员，是指受申办者委托对医疗器械临床试验项目进行核查的人员。</w:t>
            </w:r>
            <w:r w:rsidRPr="00C41E55">
              <w:rPr>
                <w:rFonts w:ascii="ˎ̥" w:eastAsia="宋体" w:hAnsi="ˎ̥" w:cs="Arial"/>
                <w:color w:val="000000"/>
                <w:kern w:val="0"/>
                <w:sz w:val="18"/>
                <w:szCs w:val="18"/>
              </w:rPr>
              <w:br/>
            </w:r>
            <w:r w:rsidRPr="00C41E55">
              <w:rPr>
                <w:rFonts w:ascii="ˎ̥" w:eastAsia="宋体" w:hAnsi="ˎ̥" w:cs="Arial"/>
                <w:color w:val="000000"/>
                <w:kern w:val="0"/>
                <w:szCs w:val="21"/>
              </w:rPr>
              <w:lastRenderedPageBreak/>
              <w:t xml:space="preserve">　　检查，是指监管部门对临床试验的有关文件、设施、记录和其他方面进行的监督管理活动。</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检查员，是指监管部门选派的对医疗器械临床试验项目进行检查的人员。</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偏离，是指有意或者无意地未遵循临床试验方案要求的情形。</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病例报告表，是指按照临床试验方案所规定设计的文件，用以记录试验过程中获得的每个受试者的全部信息和数据。</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终点，是指用于评估临床试验假设的指标。</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源数据，是指临床试验中的临床发现、观察和其他活动的原始记录以及其经核准的副本中的所有信息，可以用于临床试验重建和评价。</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源文件，是指包含</w:t>
            </w:r>
            <w:proofErr w:type="gramStart"/>
            <w:r w:rsidRPr="00C41E55">
              <w:rPr>
                <w:rFonts w:ascii="ˎ̥" w:eastAsia="宋体" w:hAnsi="ˎ̥" w:cs="Arial"/>
                <w:color w:val="000000"/>
                <w:kern w:val="0"/>
                <w:szCs w:val="21"/>
              </w:rPr>
              <w:t>源数据</w:t>
            </w:r>
            <w:proofErr w:type="gramEnd"/>
            <w:r w:rsidRPr="00C41E55">
              <w:rPr>
                <w:rFonts w:ascii="ˎ̥" w:eastAsia="宋体" w:hAnsi="ˎ̥" w:cs="Arial"/>
                <w:color w:val="000000"/>
                <w:kern w:val="0"/>
                <w:szCs w:val="21"/>
              </w:rPr>
              <w:t>的印刷文件、可视文件或者电子文件等。</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不良事件，是指在临床试验过程中出现的不利的医学事件，无论是否与试验用医疗器械相关。</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严重不良事件，是指临床试验过程中发生的导致死亡或者健康状况严重恶化，包括致命的疾病或者伤害、身体结构或者身体功能的永久性缺陷、需住院治疗或者延长住院时间、需要进行医疗或者手术介入以避免对身体结构或者身体功能造成永久性缺陷；导致胎儿窘迫、胎儿死亡或者先天性异常、先天缺损等事件。</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器械缺陷，是指临床试验过程中医疗器械在正常使用情况下存在可能危及人体健康和生命安全的不合理风险，如标签错误、质量问题、故障等。</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标准操作规程，是指为有效地实施和完成临床试验中每项工作所拟定的标准和详细的书面规程。</w:t>
            </w:r>
            <w:r w:rsidRPr="00C41E55">
              <w:rPr>
                <w:rFonts w:ascii="ˎ̥" w:eastAsia="宋体" w:hAnsi="ˎ̥" w:cs="Arial"/>
                <w:color w:val="000000"/>
                <w:kern w:val="0"/>
                <w:sz w:val="18"/>
                <w:szCs w:val="18"/>
              </w:rPr>
              <w:br/>
            </w:r>
            <w:r w:rsidRPr="00C41E55">
              <w:rPr>
                <w:rFonts w:ascii="ˎ̥" w:eastAsia="宋体" w:hAnsi="ˎ̥" w:cs="Arial"/>
                <w:color w:val="000000"/>
                <w:kern w:val="0"/>
                <w:szCs w:val="21"/>
              </w:rPr>
              <w:t xml:space="preserve">　　临床数据，是指在有关文献或者医疗器械的临床使用中获得的安全性、性能的信息。</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lastRenderedPageBreak/>
              <w:t xml:space="preserve">　　第九十四条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医疗器械临床试验伦理审查申请审批表等文书的格式范本由国家食品药品监督管理总局另行制定。</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第九十五条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本规范不适用于按照医疗器械管理的体外诊断试剂。</w:t>
            </w:r>
          </w:p>
          <w:p w:rsidR="00C41E55" w:rsidRPr="00C41E55" w:rsidRDefault="00C41E55" w:rsidP="00C41E55">
            <w:pPr>
              <w:widowControl/>
              <w:wordWrap w:val="0"/>
              <w:spacing w:before="100" w:beforeAutospacing="1" w:after="100" w:afterAutospacing="1" w:line="480" w:lineRule="auto"/>
              <w:jc w:val="left"/>
              <w:rPr>
                <w:rFonts w:ascii="ˎ̥" w:eastAsia="宋体" w:hAnsi="ˎ̥" w:cs="Arial"/>
                <w:color w:val="000000"/>
                <w:kern w:val="0"/>
                <w:szCs w:val="21"/>
              </w:rPr>
            </w:pPr>
            <w:r w:rsidRPr="00C41E55">
              <w:rPr>
                <w:rFonts w:ascii="ˎ̥" w:eastAsia="宋体" w:hAnsi="ˎ̥" w:cs="Arial"/>
                <w:b/>
                <w:bCs/>
                <w:color w:val="000000"/>
                <w:kern w:val="0"/>
              </w:rPr>
              <w:t xml:space="preserve">　　第九十六条</w:t>
            </w:r>
            <w:r w:rsidRPr="00C41E55">
              <w:rPr>
                <w:rFonts w:ascii="ˎ̥" w:eastAsia="宋体" w:hAnsi="ˎ̥" w:cs="Arial"/>
                <w:color w:val="000000"/>
                <w:kern w:val="0"/>
                <w:szCs w:val="21"/>
              </w:rPr>
              <w:t xml:space="preserve"> </w:t>
            </w:r>
            <w:r w:rsidRPr="00C41E55">
              <w:rPr>
                <w:rFonts w:ascii="ˎ̥" w:eastAsia="宋体" w:hAnsi="ˎ̥" w:cs="Arial"/>
                <w:color w:val="000000"/>
                <w:kern w:val="0"/>
                <w:szCs w:val="21"/>
              </w:rPr>
              <w:t>本规范自</w:t>
            </w:r>
            <w:r w:rsidRPr="00C41E55">
              <w:rPr>
                <w:rFonts w:ascii="ˎ̥" w:eastAsia="宋体" w:hAnsi="ˎ̥" w:cs="Arial"/>
                <w:color w:val="000000"/>
                <w:kern w:val="0"/>
                <w:szCs w:val="21"/>
              </w:rPr>
              <w:t>2016</w:t>
            </w:r>
            <w:r w:rsidRPr="00C41E55">
              <w:rPr>
                <w:rFonts w:ascii="ˎ̥" w:eastAsia="宋体" w:hAnsi="ˎ̥" w:cs="Arial"/>
                <w:color w:val="000000"/>
                <w:kern w:val="0"/>
                <w:szCs w:val="21"/>
              </w:rPr>
              <w:t>年</w:t>
            </w:r>
            <w:r w:rsidRPr="00C41E55">
              <w:rPr>
                <w:rFonts w:ascii="ˎ̥" w:eastAsia="宋体" w:hAnsi="ˎ̥" w:cs="Arial"/>
                <w:color w:val="000000"/>
                <w:kern w:val="0"/>
                <w:szCs w:val="21"/>
              </w:rPr>
              <w:t>6</w:t>
            </w:r>
            <w:r w:rsidRPr="00C41E55">
              <w:rPr>
                <w:rFonts w:ascii="ˎ̥" w:eastAsia="宋体" w:hAnsi="ˎ̥" w:cs="Arial"/>
                <w:color w:val="000000"/>
                <w:kern w:val="0"/>
                <w:szCs w:val="21"/>
              </w:rPr>
              <w:t>月</w:t>
            </w:r>
            <w:r w:rsidRPr="00C41E55">
              <w:rPr>
                <w:rFonts w:ascii="ˎ̥" w:eastAsia="宋体" w:hAnsi="ˎ̥" w:cs="Arial"/>
                <w:color w:val="000000"/>
                <w:kern w:val="0"/>
                <w:szCs w:val="21"/>
              </w:rPr>
              <w:t>1</w:t>
            </w:r>
            <w:r w:rsidRPr="00C41E55">
              <w:rPr>
                <w:rFonts w:ascii="ˎ̥" w:eastAsia="宋体" w:hAnsi="ˎ̥" w:cs="Arial"/>
                <w:color w:val="000000"/>
                <w:kern w:val="0"/>
                <w:szCs w:val="21"/>
              </w:rPr>
              <w:t>日起施行。</w:t>
            </w:r>
            <w:r w:rsidRPr="00C41E55">
              <w:rPr>
                <w:rFonts w:ascii="ˎ̥" w:eastAsia="宋体" w:hAnsi="ˎ̥" w:cs="Arial"/>
                <w:color w:val="000000"/>
                <w:kern w:val="0"/>
                <w:szCs w:val="21"/>
              </w:rPr>
              <w:t>2004</w:t>
            </w:r>
            <w:r w:rsidRPr="00C41E55">
              <w:rPr>
                <w:rFonts w:ascii="ˎ̥" w:eastAsia="宋体" w:hAnsi="ˎ̥" w:cs="Arial"/>
                <w:color w:val="000000"/>
                <w:kern w:val="0"/>
                <w:szCs w:val="21"/>
              </w:rPr>
              <w:t>年</w:t>
            </w:r>
            <w:r w:rsidRPr="00C41E55">
              <w:rPr>
                <w:rFonts w:ascii="ˎ̥" w:eastAsia="宋体" w:hAnsi="ˎ̥" w:cs="Arial"/>
                <w:color w:val="000000"/>
                <w:kern w:val="0"/>
                <w:szCs w:val="21"/>
              </w:rPr>
              <w:t>1</w:t>
            </w:r>
            <w:r w:rsidRPr="00C41E55">
              <w:rPr>
                <w:rFonts w:ascii="ˎ̥" w:eastAsia="宋体" w:hAnsi="ˎ̥" w:cs="Arial"/>
                <w:color w:val="000000"/>
                <w:kern w:val="0"/>
                <w:szCs w:val="21"/>
              </w:rPr>
              <w:t>月</w:t>
            </w:r>
            <w:r w:rsidRPr="00C41E55">
              <w:rPr>
                <w:rFonts w:ascii="ˎ̥" w:eastAsia="宋体" w:hAnsi="ˎ̥" w:cs="Arial"/>
                <w:color w:val="000000"/>
                <w:kern w:val="0"/>
                <w:szCs w:val="21"/>
              </w:rPr>
              <w:t>17</w:t>
            </w:r>
            <w:r w:rsidRPr="00C41E55">
              <w:rPr>
                <w:rFonts w:ascii="ˎ̥" w:eastAsia="宋体" w:hAnsi="ˎ̥" w:cs="Arial"/>
                <w:color w:val="000000"/>
                <w:kern w:val="0"/>
                <w:szCs w:val="21"/>
              </w:rPr>
              <w:t>日发布的《医疗器械临床试验规定》（国家食品药品监督管理局令第</w:t>
            </w:r>
            <w:r w:rsidRPr="00C41E55">
              <w:rPr>
                <w:rFonts w:ascii="ˎ̥" w:eastAsia="宋体" w:hAnsi="ˎ̥" w:cs="Arial"/>
                <w:color w:val="000000"/>
                <w:kern w:val="0"/>
                <w:szCs w:val="21"/>
              </w:rPr>
              <w:t>5</w:t>
            </w:r>
            <w:r w:rsidRPr="00C41E55">
              <w:rPr>
                <w:rFonts w:ascii="ˎ̥" w:eastAsia="宋体" w:hAnsi="ˎ̥" w:cs="Arial"/>
                <w:color w:val="000000"/>
                <w:kern w:val="0"/>
                <w:szCs w:val="21"/>
              </w:rPr>
              <w:t>号）同时废止。</w:t>
            </w:r>
          </w:p>
        </w:tc>
      </w:tr>
    </w:tbl>
    <w:p w:rsidR="0005478B" w:rsidRPr="00C41E55" w:rsidRDefault="0005478B"/>
    <w:sectPr w:rsidR="0005478B" w:rsidRPr="00C41E55" w:rsidSect="000547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41E55"/>
    <w:rsid w:val="0005478B"/>
    <w:rsid w:val="00C41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7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41E55"/>
    <w:rPr>
      <w:b/>
      <w:bCs/>
    </w:rPr>
  </w:style>
  <w:style w:type="paragraph" w:styleId="a4">
    <w:name w:val="Balloon Text"/>
    <w:basedOn w:val="a"/>
    <w:link w:val="Char"/>
    <w:uiPriority w:val="99"/>
    <w:semiHidden/>
    <w:unhideWhenUsed/>
    <w:rsid w:val="00C41E55"/>
    <w:rPr>
      <w:sz w:val="18"/>
      <w:szCs w:val="18"/>
    </w:rPr>
  </w:style>
  <w:style w:type="character" w:customStyle="1" w:styleId="Char">
    <w:name w:val="批注框文本 Char"/>
    <w:basedOn w:val="a0"/>
    <w:link w:val="a4"/>
    <w:uiPriority w:val="99"/>
    <w:semiHidden/>
    <w:rsid w:val="00C41E5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2227</Words>
  <Characters>12699</Characters>
  <Application>Microsoft Office Word</Application>
  <DocSecurity>0</DocSecurity>
  <Lines>105</Lines>
  <Paragraphs>29</Paragraphs>
  <ScaleCrop>false</ScaleCrop>
  <Company/>
  <LinksUpToDate>false</LinksUpToDate>
  <CharactersWithSpaces>14897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乔洁</dc:creator>
  <cp:lastModifiedBy>乔洁</cp:lastModifiedBy>
  <cp:revision>1</cp:revision>
  <dcterms:created xsi:type="dcterms:W3CDTF">2016-04-13T00:38:00Z</dcterms:created>
  <dcterms:modified xsi:type="dcterms:W3CDTF">2016-04-13T00:39:00Z</dcterms:modified>
</cp:coreProperties>
</file>